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8ED3E" w14:textId="2434CB7F" w:rsidR="00383E8F" w:rsidRPr="006F4305" w:rsidRDefault="00383E8F" w:rsidP="006F4305">
      <w:pPr>
        <w:pStyle w:val="NoSpacing"/>
        <w:jc w:val="center"/>
        <w:rPr>
          <w:rFonts w:asciiTheme="minorHAnsi" w:hAnsiTheme="minorHAnsi"/>
          <w:b/>
          <w:bCs/>
          <w:sz w:val="24"/>
          <w:szCs w:val="24"/>
        </w:rPr>
      </w:pPr>
      <w:r>
        <w:rPr>
          <w:rFonts w:asciiTheme="minorHAnsi" w:hAnsiTheme="minorHAnsi"/>
          <w:b/>
          <w:bCs/>
          <w:sz w:val="24"/>
          <w:szCs w:val="24"/>
        </w:rPr>
        <w:t>Reading strategy, including phonics</w:t>
      </w:r>
    </w:p>
    <w:p w14:paraId="77C8C9B0" w14:textId="77777777" w:rsidR="00121793" w:rsidRPr="008E27DC" w:rsidRDefault="00121793" w:rsidP="008E27DC">
      <w:pPr>
        <w:pStyle w:val="NoSpacing"/>
        <w:rPr>
          <w:sz w:val="24"/>
          <w:szCs w:val="24"/>
        </w:rPr>
      </w:pPr>
    </w:p>
    <w:p w14:paraId="4AF44A25" w14:textId="6BF3A62C" w:rsidR="00660515" w:rsidRDefault="008E27DC" w:rsidP="008E27DC">
      <w:pPr>
        <w:pStyle w:val="NoSpacing"/>
        <w:rPr>
          <w:rFonts w:ascii="Arial" w:hAnsi="Arial" w:cs="Arial"/>
          <w:sz w:val="24"/>
          <w:szCs w:val="24"/>
        </w:rPr>
      </w:pPr>
      <w:r w:rsidRPr="008E27DC">
        <w:rPr>
          <w:rFonts w:ascii="Arial" w:hAnsi="Arial" w:cs="Arial"/>
          <w:sz w:val="24"/>
          <w:szCs w:val="24"/>
        </w:rPr>
        <w:t xml:space="preserve">At </w:t>
      </w:r>
      <w:proofErr w:type="gramStart"/>
      <w:r>
        <w:rPr>
          <w:rFonts w:ascii="Arial" w:hAnsi="Arial" w:cs="Arial"/>
          <w:sz w:val="24"/>
          <w:szCs w:val="24"/>
        </w:rPr>
        <w:t>The</w:t>
      </w:r>
      <w:proofErr w:type="gramEnd"/>
      <w:r>
        <w:rPr>
          <w:rFonts w:ascii="Arial" w:hAnsi="Arial" w:cs="Arial"/>
          <w:sz w:val="24"/>
          <w:szCs w:val="24"/>
        </w:rPr>
        <w:t xml:space="preserve"> Wildings,</w:t>
      </w:r>
      <w:r w:rsidRPr="008E27DC">
        <w:rPr>
          <w:rFonts w:ascii="Arial" w:hAnsi="Arial" w:cs="Arial"/>
          <w:sz w:val="24"/>
          <w:szCs w:val="24"/>
        </w:rPr>
        <w:t xml:space="preserve"> we aim to foster a love of reading</w:t>
      </w:r>
      <w:r>
        <w:rPr>
          <w:rFonts w:ascii="Arial" w:hAnsi="Arial" w:cs="Arial"/>
          <w:sz w:val="24"/>
          <w:szCs w:val="24"/>
        </w:rPr>
        <w:t xml:space="preserve">. </w:t>
      </w:r>
      <w:r w:rsidR="00660515">
        <w:rPr>
          <w:rFonts w:ascii="Arial" w:hAnsi="Arial" w:cs="Arial"/>
          <w:sz w:val="24"/>
          <w:szCs w:val="24"/>
        </w:rPr>
        <w:t xml:space="preserve">Being able to read well enables </w:t>
      </w:r>
      <w:r w:rsidR="000A1E79">
        <w:rPr>
          <w:rFonts w:ascii="Arial" w:hAnsi="Arial" w:cs="Arial"/>
          <w:sz w:val="24"/>
          <w:szCs w:val="24"/>
        </w:rPr>
        <w:t>young people</w:t>
      </w:r>
      <w:r w:rsidR="00660515">
        <w:rPr>
          <w:rFonts w:ascii="Arial" w:hAnsi="Arial" w:cs="Arial"/>
          <w:sz w:val="24"/>
          <w:szCs w:val="24"/>
        </w:rPr>
        <w:t xml:space="preserve"> to access the wider curriculum. </w:t>
      </w:r>
      <w:r>
        <w:rPr>
          <w:rFonts w:ascii="Arial" w:hAnsi="Arial" w:cs="Arial"/>
          <w:sz w:val="24"/>
          <w:szCs w:val="24"/>
        </w:rPr>
        <w:t>This means that</w:t>
      </w:r>
      <w:r w:rsidRPr="008E27DC">
        <w:rPr>
          <w:rFonts w:ascii="Arial" w:hAnsi="Arial" w:cs="Arial"/>
          <w:sz w:val="24"/>
          <w:szCs w:val="24"/>
        </w:rPr>
        <w:t xml:space="preserve"> the development of</w:t>
      </w:r>
      <w:r>
        <w:rPr>
          <w:rFonts w:ascii="Arial" w:hAnsi="Arial" w:cs="Arial"/>
          <w:sz w:val="24"/>
          <w:szCs w:val="24"/>
        </w:rPr>
        <w:t xml:space="preserve"> each </w:t>
      </w:r>
      <w:r w:rsidR="000A1E79">
        <w:rPr>
          <w:rFonts w:ascii="Arial" w:hAnsi="Arial" w:cs="Arial"/>
          <w:sz w:val="24"/>
          <w:szCs w:val="24"/>
        </w:rPr>
        <w:t>young person’s</w:t>
      </w:r>
      <w:r>
        <w:rPr>
          <w:rFonts w:ascii="Arial" w:hAnsi="Arial" w:cs="Arial"/>
          <w:sz w:val="24"/>
          <w:szCs w:val="24"/>
        </w:rPr>
        <w:t xml:space="preserve"> </w:t>
      </w:r>
      <w:r w:rsidRPr="008E27DC">
        <w:rPr>
          <w:rFonts w:ascii="Arial" w:hAnsi="Arial" w:cs="Arial"/>
          <w:sz w:val="24"/>
          <w:szCs w:val="24"/>
        </w:rPr>
        <w:t>reading skills is a priority.</w:t>
      </w:r>
    </w:p>
    <w:p w14:paraId="16C9E01B" w14:textId="77777777" w:rsidR="00660515" w:rsidRDefault="00660515" w:rsidP="008E27DC">
      <w:pPr>
        <w:pStyle w:val="NoSpacing"/>
        <w:rPr>
          <w:rFonts w:ascii="Arial" w:hAnsi="Arial" w:cs="Arial"/>
          <w:sz w:val="24"/>
          <w:szCs w:val="24"/>
        </w:rPr>
      </w:pPr>
    </w:p>
    <w:p w14:paraId="351055F9" w14:textId="178FFBE7" w:rsidR="008E27DC" w:rsidRPr="00355484" w:rsidRDefault="00481297" w:rsidP="008E27DC">
      <w:pPr>
        <w:pStyle w:val="NoSpacing"/>
        <w:rPr>
          <w:rFonts w:ascii="Arial" w:hAnsi="Arial" w:cs="Arial"/>
          <w:color w:val="FF0000"/>
          <w:sz w:val="24"/>
          <w:szCs w:val="24"/>
          <w:bdr w:val="none" w:sz="0" w:space="0" w:color="auto" w:frame="1"/>
        </w:rPr>
      </w:pPr>
      <w:r>
        <w:rPr>
          <w:rFonts w:ascii="Arial" w:hAnsi="Arial" w:cs="Arial"/>
          <w:sz w:val="24"/>
          <w:szCs w:val="24"/>
        </w:rPr>
        <w:t xml:space="preserve">When a </w:t>
      </w:r>
      <w:r w:rsidR="000A1E79">
        <w:rPr>
          <w:rFonts w:ascii="Arial" w:hAnsi="Arial" w:cs="Arial"/>
          <w:sz w:val="24"/>
          <w:szCs w:val="24"/>
        </w:rPr>
        <w:t xml:space="preserve">young person </w:t>
      </w:r>
      <w:r>
        <w:rPr>
          <w:rFonts w:ascii="Arial" w:hAnsi="Arial" w:cs="Arial"/>
          <w:sz w:val="24"/>
          <w:szCs w:val="24"/>
        </w:rPr>
        <w:t xml:space="preserve">enters the Wildings, a </w:t>
      </w:r>
      <w:r w:rsidR="003D0681">
        <w:rPr>
          <w:rFonts w:ascii="Arial" w:hAnsi="Arial" w:cs="Arial"/>
          <w:sz w:val="24"/>
          <w:szCs w:val="24"/>
        </w:rPr>
        <w:t>comprehensive</w:t>
      </w:r>
      <w:r>
        <w:rPr>
          <w:rFonts w:ascii="Arial" w:hAnsi="Arial" w:cs="Arial"/>
          <w:sz w:val="24"/>
          <w:szCs w:val="24"/>
        </w:rPr>
        <w:t xml:space="preserve"> </w:t>
      </w:r>
      <w:r w:rsidR="003D0681">
        <w:rPr>
          <w:rFonts w:ascii="Arial" w:hAnsi="Arial" w:cs="Arial"/>
          <w:sz w:val="24"/>
          <w:szCs w:val="24"/>
        </w:rPr>
        <w:t>baselining</w:t>
      </w:r>
      <w:r>
        <w:rPr>
          <w:rFonts w:ascii="Arial" w:hAnsi="Arial" w:cs="Arial"/>
          <w:sz w:val="24"/>
          <w:szCs w:val="24"/>
        </w:rPr>
        <w:t xml:space="preserve"> assessment takes place. An </w:t>
      </w:r>
      <w:r w:rsidR="003D0681">
        <w:rPr>
          <w:rFonts w:ascii="Arial" w:hAnsi="Arial" w:cs="Arial"/>
          <w:sz w:val="24"/>
          <w:szCs w:val="24"/>
        </w:rPr>
        <w:t>integral</w:t>
      </w:r>
      <w:r>
        <w:rPr>
          <w:rFonts w:ascii="Arial" w:hAnsi="Arial" w:cs="Arial"/>
          <w:sz w:val="24"/>
          <w:szCs w:val="24"/>
        </w:rPr>
        <w:t xml:space="preserve"> part </w:t>
      </w:r>
      <w:r w:rsidR="003D0681">
        <w:rPr>
          <w:rFonts w:ascii="Arial" w:hAnsi="Arial" w:cs="Arial"/>
          <w:sz w:val="24"/>
          <w:szCs w:val="24"/>
        </w:rPr>
        <w:t>of</w:t>
      </w:r>
      <w:r>
        <w:rPr>
          <w:rFonts w:ascii="Arial" w:hAnsi="Arial" w:cs="Arial"/>
          <w:sz w:val="24"/>
          <w:szCs w:val="24"/>
        </w:rPr>
        <w:t xml:space="preserve"> this is to help </w:t>
      </w:r>
      <w:r w:rsidR="003D0681">
        <w:rPr>
          <w:rFonts w:ascii="Arial" w:hAnsi="Arial" w:cs="Arial"/>
          <w:sz w:val="24"/>
          <w:szCs w:val="24"/>
        </w:rPr>
        <w:t>colleagues</w:t>
      </w:r>
      <w:r>
        <w:rPr>
          <w:rFonts w:ascii="Arial" w:hAnsi="Arial" w:cs="Arial"/>
          <w:sz w:val="24"/>
          <w:szCs w:val="24"/>
        </w:rPr>
        <w:t xml:space="preserve"> </w:t>
      </w:r>
      <w:r w:rsidR="003D0681">
        <w:rPr>
          <w:rFonts w:ascii="Arial" w:hAnsi="Arial" w:cs="Arial"/>
          <w:sz w:val="24"/>
          <w:szCs w:val="24"/>
        </w:rPr>
        <w:t>understand</w:t>
      </w:r>
      <w:r>
        <w:rPr>
          <w:rFonts w:ascii="Arial" w:hAnsi="Arial" w:cs="Arial"/>
          <w:sz w:val="24"/>
          <w:szCs w:val="24"/>
        </w:rPr>
        <w:t xml:space="preserve"> each </w:t>
      </w:r>
      <w:r w:rsidR="000A1E79">
        <w:rPr>
          <w:rFonts w:ascii="Arial" w:hAnsi="Arial" w:cs="Arial"/>
          <w:sz w:val="24"/>
          <w:szCs w:val="24"/>
        </w:rPr>
        <w:t xml:space="preserve">young person’s </w:t>
      </w:r>
      <w:r>
        <w:rPr>
          <w:rFonts w:ascii="Arial" w:hAnsi="Arial" w:cs="Arial"/>
          <w:sz w:val="24"/>
          <w:szCs w:val="24"/>
        </w:rPr>
        <w:t xml:space="preserve">reading </w:t>
      </w:r>
      <w:r w:rsidR="003D0681">
        <w:rPr>
          <w:rFonts w:ascii="Arial" w:hAnsi="Arial" w:cs="Arial"/>
          <w:sz w:val="24"/>
          <w:szCs w:val="24"/>
        </w:rPr>
        <w:t>strengths</w:t>
      </w:r>
      <w:r>
        <w:rPr>
          <w:rFonts w:ascii="Arial" w:hAnsi="Arial" w:cs="Arial"/>
          <w:sz w:val="24"/>
          <w:szCs w:val="24"/>
        </w:rPr>
        <w:t xml:space="preserve"> and areas </w:t>
      </w:r>
      <w:r w:rsidR="003D0681">
        <w:rPr>
          <w:rFonts w:ascii="Arial" w:hAnsi="Arial" w:cs="Arial"/>
          <w:sz w:val="24"/>
          <w:szCs w:val="24"/>
        </w:rPr>
        <w:t>for</w:t>
      </w:r>
      <w:r>
        <w:rPr>
          <w:rFonts w:ascii="Arial" w:hAnsi="Arial" w:cs="Arial"/>
          <w:sz w:val="24"/>
          <w:szCs w:val="24"/>
        </w:rPr>
        <w:t xml:space="preserve"> development. </w:t>
      </w:r>
      <w:r w:rsidR="003D0681">
        <w:rPr>
          <w:rFonts w:ascii="Arial" w:hAnsi="Arial" w:cs="Arial"/>
          <w:sz w:val="24"/>
          <w:szCs w:val="24"/>
        </w:rPr>
        <w:t xml:space="preserve">Each </w:t>
      </w:r>
      <w:r w:rsidR="000A1E79">
        <w:rPr>
          <w:rFonts w:ascii="Arial" w:hAnsi="Arial" w:cs="Arial"/>
          <w:sz w:val="24"/>
          <w:szCs w:val="24"/>
        </w:rPr>
        <w:t xml:space="preserve">young person </w:t>
      </w:r>
      <w:r w:rsidR="003D0681">
        <w:rPr>
          <w:rFonts w:ascii="Arial" w:hAnsi="Arial" w:cs="Arial"/>
          <w:sz w:val="24"/>
          <w:szCs w:val="24"/>
        </w:rPr>
        <w:t>begins their learning at the Wildings via a tailored curriculum pathway</w:t>
      </w:r>
      <w:r w:rsidR="003D0681" w:rsidRPr="00FD6F40">
        <w:rPr>
          <w:rFonts w:ascii="Arial" w:hAnsi="Arial" w:cs="Arial"/>
          <w:sz w:val="24"/>
          <w:szCs w:val="24"/>
        </w:rPr>
        <w:t>.</w:t>
      </w:r>
      <w:r w:rsidR="00FD6F40" w:rsidRPr="00FD6F40">
        <w:rPr>
          <w:rFonts w:ascii="Arial" w:hAnsi="Arial" w:cs="Arial"/>
          <w:sz w:val="24"/>
          <w:szCs w:val="24"/>
          <w:bdr w:val="none" w:sz="0" w:space="0" w:color="auto" w:frame="1"/>
        </w:rPr>
        <w:t xml:space="preserve"> Reading will feature in </w:t>
      </w:r>
      <w:r w:rsidR="000A1E79">
        <w:rPr>
          <w:rFonts w:ascii="Arial" w:hAnsi="Arial" w:cs="Arial"/>
          <w:sz w:val="24"/>
          <w:szCs w:val="24"/>
        </w:rPr>
        <w:t xml:space="preserve">young person’s </w:t>
      </w:r>
      <w:r w:rsidR="00FD6F40" w:rsidRPr="00FD6F40">
        <w:rPr>
          <w:rFonts w:ascii="Arial" w:hAnsi="Arial" w:cs="Arial"/>
          <w:sz w:val="24"/>
          <w:szCs w:val="24"/>
          <w:bdr w:val="none" w:sz="0" w:space="0" w:color="auto" w:frame="1"/>
        </w:rPr>
        <w:t>learning through all enquiries.</w:t>
      </w:r>
      <w:r w:rsidR="00355484">
        <w:rPr>
          <w:rFonts w:ascii="Arial" w:hAnsi="Arial" w:cs="Arial"/>
          <w:sz w:val="24"/>
          <w:szCs w:val="24"/>
          <w:bdr w:val="none" w:sz="0" w:space="0" w:color="auto" w:frame="1"/>
        </w:rPr>
        <w:t xml:space="preserve"> </w:t>
      </w:r>
      <w:r w:rsidR="000A1E79">
        <w:rPr>
          <w:rFonts w:ascii="Arial" w:hAnsi="Arial" w:cs="Arial"/>
          <w:sz w:val="24"/>
          <w:szCs w:val="24"/>
          <w:bdr w:val="none" w:sz="0" w:space="0" w:color="auto" w:frame="1"/>
        </w:rPr>
        <w:t xml:space="preserve">The list of texts associated with the curriculum is available on request. </w:t>
      </w:r>
    </w:p>
    <w:p w14:paraId="4FBB6232" w14:textId="77777777" w:rsidR="000A1E79" w:rsidRPr="00FD6F40" w:rsidRDefault="000A1E79" w:rsidP="008E27DC">
      <w:pPr>
        <w:pStyle w:val="NoSpacing"/>
        <w:rPr>
          <w:rFonts w:ascii="Arial" w:hAnsi="Arial" w:cs="Arial"/>
          <w:sz w:val="24"/>
          <w:szCs w:val="24"/>
        </w:rPr>
      </w:pPr>
    </w:p>
    <w:p w14:paraId="46C2E85C" w14:textId="09EEAA4A" w:rsidR="0008531E" w:rsidRPr="007178A7" w:rsidRDefault="00D47BCC" w:rsidP="008E27DC">
      <w:pPr>
        <w:pStyle w:val="NoSpacing"/>
        <w:rPr>
          <w:rFonts w:ascii="Arial" w:hAnsi="Arial" w:cs="Arial"/>
          <w:color w:val="FF0000"/>
          <w:sz w:val="24"/>
          <w:szCs w:val="24"/>
        </w:rPr>
      </w:pPr>
      <w:r>
        <w:rPr>
          <w:rFonts w:ascii="Arial" w:hAnsi="Arial" w:cs="Arial"/>
          <w:sz w:val="24"/>
          <w:szCs w:val="24"/>
        </w:rPr>
        <w:t xml:space="preserve">Colleagues encourage all </w:t>
      </w:r>
      <w:r w:rsidR="000A1E79">
        <w:rPr>
          <w:rFonts w:ascii="Arial" w:hAnsi="Arial" w:cs="Arial"/>
          <w:sz w:val="24"/>
          <w:szCs w:val="24"/>
        </w:rPr>
        <w:t xml:space="preserve">young people </w:t>
      </w:r>
      <w:r>
        <w:rPr>
          <w:rFonts w:ascii="Arial" w:hAnsi="Arial" w:cs="Arial"/>
          <w:sz w:val="24"/>
          <w:szCs w:val="24"/>
        </w:rPr>
        <w:t xml:space="preserve">to read as often as possible. </w:t>
      </w:r>
      <w:r w:rsidR="0008531E">
        <w:rPr>
          <w:rFonts w:ascii="Arial" w:hAnsi="Arial" w:cs="Arial"/>
          <w:sz w:val="24"/>
          <w:szCs w:val="24"/>
        </w:rPr>
        <w:t xml:space="preserve">The Wildings has a wide variety of </w:t>
      </w:r>
      <w:r w:rsidR="00660515">
        <w:rPr>
          <w:rFonts w:ascii="Arial" w:hAnsi="Arial" w:cs="Arial"/>
          <w:sz w:val="24"/>
          <w:szCs w:val="24"/>
        </w:rPr>
        <w:t xml:space="preserve">reading material, which </w:t>
      </w:r>
      <w:r w:rsidR="000A1E79">
        <w:rPr>
          <w:rFonts w:ascii="Arial" w:hAnsi="Arial" w:cs="Arial"/>
          <w:sz w:val="24"/>
          <w:szCs w:val="24"/>
        </w:rPr>
        <w:t xml:space="preserve">young people </w:t>
      </w:r>
      <w:r w:rsidR="00660515">
        <w:rPr>
          <w:rFonts w:ascii="Arial" w:hAnsi="Arial" w:cs="Arial"/>
          <w:sz w:val="24"/>
          <w:szCs w:val="24"/>
        </w:rPr>
        <w:t>can access freely</w:t>
      </w:r>
      <w:r w:rsidR="0008531E">
        <w:rPr>
          <w:rFonts w:ascii="Arial" w:hAnsi="Arial" w:cs="Arial"/>
          <w:sz w:val="24"/>
          <w:szCs w:val="24"/>
        </w:rPr>
        <w:t xml:space="preserve">. The curriculum pathways enable all </w:t>
      </w:r>
      <w:r w:rsidR="000A1E79">
        <w:rPr>
          <w:rFonts w:ascii="Arial" w:hAnsi="Arial" w:cs="Arial"/>
          <w:sz w:val="24"/>
          <w:szCs w:val="24"/>
        </w:rPr>
        <w:t xml:space="preserve">young people </w:t>
      </w:r>
      <w:r w:rsidRPr="00D47BCC">
        <w:rPr>
          <w:rFonts w:ascii="Arial" w:hAnsi="Arial" w:cs="Arial"/>
          <w:sz w:val="24"/>
          <w:szCs w:val="24"/>
        </w:rPr>
        <w:t>to explore and analyse a variety of texts, covering a wide range of genres</w:t>
      </w:r>
      <w:r>
        <w:rPr>
          <w:rFonts w:ascii="Arial" w:hAnsi="Arial" w:cs="Arial"/>
          <w:sz w:val="24"/>
          <w:szCs w:val="24"/>
        </w:rPr>
        <w:t xml:space="preserve">. </w:t>
      </w:r>
      <w:r w:rsidR="004A1203">
        <w:rPr>
          <w:rFonts w:ascii="Arial" w:hAnsi="Arial" w:cs="Arial"/>
          <w:sz w:val="24"/>
          <w:szCs w:val="24"/>
        </w:rPr>
        <w:t xml:space="preserve">As </w:t>
      </w:r>
      <w:r w:rsidR="000A1E79">
        <w:rPr>
          <w:rFonts w:ascii="Arial" w:hAnsi="Arial" w:cs="Arial"/>
          <w:sz w:val="24"/>
          <w:szCs w:val="24"/>
        </w:rPr>
        <w:t xml:space="preserve">young people </w:t>
      </w:r>
      <w:r w:rsidR="004A1203">
        <w:rPr>
          <w:rFonts w:ascii="Arial" w:hAnsi="Arial" w:cs="Arial"/>
          <w:sz w:val="24"/>
          <w:szCs w:val="24"/>
        </w:rPr>
        <w:t>progress through the curriculum, t</w:t>
      </w:r>
      <w:r w:rsidRPr="00D47BCC">
        <w:rPr>
          <w:rFonts w:ascii="Arial" w:hAnsi="Arial" w:cs="Arial"/>
          <w:sz w:val="24"/>
          <w:szCs w:val="24"/>
        </w:rPr>
        <w:t>hey draw on their previous knowledge to explain features of texts and identify how these are suited to audience and purpose, whilst also expanding on grammar concepts learnt previously</w:t>
      </w:r>
      <w:r>
        <w:rPr>
          <w:rFonts w:ascii="Arial" w:hAnsi="Arial" w:cs="Arial"/>
          <w:sz w:val="24"/>
          <w:szCs w:val="24"/>
        </w:rPr>
        <w:t>.</w:t>
      </w:r>
      <w:r w:rsidRPr="00D47BCC">
        <w:rPr>
          <w:rFonts w:ascii="Arial" w:hAnsi="Arial" w:cs="Arial"/>
          <w:sz w:val="24"/>
          <w:szCs w:val="24"/>
        </w:rPr>
        <w:t xml:space="preserve"> </w:t>
      </w:r>
      <w:r>
        <w:rPr>
          <w:rFonts w:ascii="Arial" w:hAnsi="Arial" w:cs="Arial"/>
          <w:sz w:val="24"/>
          <w:szCs w:val="24"/>
        </w:rPr>
        <w:t xml:space="preserve">Through reading high quality texts, </w:t>
      </w:r>
      <w:r w:rsidR="000A1E79">
        <w:rPr>
          <w:rFonts w:ascii="Arial" w:hAnsi="Arial" w:cs="Arial"/>
          <w:sz w:val="24"/>
          <w:szCs w:val="24"/>
        </w:rPr>
        <w:t xml:space="preserve">young people </w:t>
      </w:r>
      <w:r>
        <w:rPr>
          <w:rFonts w:ascii="Arial" w:hAnsi="Arial" w:cs="Arial"/>
          <w:sz w:val="24"/>
          <w:szCs w:val="24"/>
        </w:rPr>
        <w:t xml:space="preserve">will build a secure understanding of how to write effectively for different purposes. Moreover, they will learn about the world </w:t>
      </w:r>
      <w:r w:rsidRPr="000A1E79">
        <w:rPr>
          <w:rFonts w:ascii="Arial" w:hAnsi="Arial" w:cs="Arial"/>
          <w:sz w:val="24"/>
          <w:szCs w:val="24"/>
        </w:rPr>
        <w:t>around them.</w:t>
      </w:r>
      <w:r w:rsidR="007178A7" w:rsidRPr="000A1E79">
        <w:rPr>
          <w:rFonts w:ascii="Arial" w:hAnsi="Arial" w:cs="Arial"/>
          <w:sz w:val="24"/>
          <w:szCs w:val="24"/>
        </w:rPr>
        <w:t xml:space="preserve"> Each </w:t>
      </w:r>
      <w:r w:rsidR="000A1E79" w:rsidRPr="000A1E79">
        <w:rPr>
          <w:rFonts w:ascii="Arial" w:hAnsi="Arial" w:cs="Arial"/>
          <w:sz w:val="24"/>
          <w:szCs w:val="24"/>
        </w:rPr>
        <w:t xml:space="preserve">young person will </w:t>
      </w:r>
      <w:r w:rsidR="007178A7" w:rsidRPr="000A1E79">
        <w:rPr>
          <w:rFonts w:ascii="Arial" w:hAnsi="Arial" w:cs="Arial"/>
          <w:sz w:val="24"/>
          <w:szCs w:val="24"/>
        </w:rPr>
        <w:t xml:space="preserve">build a personalised library of what they have read </w:t>
      </w:r>
      <w:r w:rsidR="000A1E79" w:rsidRPr="000A1E79">
        <w:rPr>
          <w:rFonts w:ascii="Arial" w:hAnsi="Arial" w:cs="Arial"/>
          <w:sz w:val="24"/>
          <w:szCs w:val="24"/>
        </w:rPr>
        <w:t>and are</w:t>
      </w:r>
      <w:r w:rsidR="007178A7" w:rsidRPr="000A1E79">
        <w:rPr>
          <w:rFonts w:ascii="Arial" w:hAnsi="Arial" w:cs="Arial"/>
          <w:sz w:val="24"/>
          <w:szCs w:val="24"/>
        </w:rPr>
        <w:t xml:space="preserve"> going to read</w:t>
      </w:r>
      <w:r w:rsidR="000A1E79" w:rsidRPr="000A1E79">
        <w:rPr>
          <w:rFonts w:ascii="Arial" w:hAnsi="Arial" w:cs="Arial"/>
          <w:sz w:val="24"/>
          <w:szCs w:val="24"/>
        </w:rPr>
        <w:t xml:space="preserve">, which will be updated in line with their needs and at least termly. </w:t>
      </w:r>
    </w:p>
    <w:p w14:paraId="17B6CA2B" w14:textId="5A7683CC" w:rsidR="00FD6F40" w:rsidRDefault="00FD6F40" w:rsidP="008E27DC">
      <w:pPr>
        <w:pStyle w:val="NoSpacing"/>
        <w:rPr>
          <w:rFonts w:ascii="Arial" w:hAnsi="Arial" w:cs="Arial"/>
          <w:sz w:val="24"/>
          <w:szCs w:val="24"/>
        </w:rPr>
      </w:pPr>
    </w:p>
    <w:p w14:paraId="0FAB2173" w14:textId="5B3E9DA8" w:rsidR="00FD6F40" w:rsidRPr="00FD6F40" w:rsidRDefault="00FD6F40" w:rsidP="008E27DC">
      <w:pPr>
        <w:pStyle w:val="NoSpacing"/>
        <w:rPr>
          <w:rFonts w:ascii="Arial" w:hAnsi="Arial" w:cs="Arial"/>
          <w:color w:val="FF0000"/>
          <w:sz w:val="24"/>
          <w:szCs w:val="24"/>
        </w:rPr>
      </w:pPr>
      <w:r>
        <w:rPr>
          <w:rFonts w:ascii="Arial" w:hAnsi="Arial" w:cs="Arial"/>
          <w:sz w:val="24"/>
          <w:szCs w:val="24"/>
        </w:rPr>
        <w:t xml:space="preserve">The Wildings uses </w:t>
      </w:r>
      <w:r w:rsidR="000A1E79">
        <w:rPr>
          <w:rFonts w:ascii="Arial" w:hAnsi="Arial" w:cs="Arial"/>
          <w:sz w:val="24"/>
          <w:szCs w:val="24"/>
        </w:rPr>
        <w:t>the Accelerated Reader scheme</w:t>
      </w:r>
      <w:r>
        <w:rPr>
          <w:rFonts w:ascii="Arial" w:hAnsi="Arial" w:cs="Arial"/>
          <w:sz w:val="24"/>
          <w:szCs w:val="24"/>
        </w:rPr>
        <w:t xml:space="preserve"> to encourage </w:t>
      </w:r>
      <w:r w:rsidR="000A1E79">
        <w:rPr>
          <w:rFonts w:ascii="Arial" w:hAnsi="Arial" w:cs="Arial"/>
          <w:sz w:val="24"/>
          <w:szCs w:val="24"/>
        </w:rPr>
        <w:t xml:space="preserve">young people </w:t>
      </w:r>
      <w:r>
        <w:rPr>
          <w:rFonts w:ascii="Arial" w:hAnsi="Arial" w:cs="Arial"/>
          <w:sz w:val="24"/>
          <w:szCs w:val="24"/>
        </w:rPr>
        <w:t xml:space="preserve">to read and to offer a rich diet of material. </w:t>
      </w:r>
    </w:p>
    <w:p w14:paraId="3494B53C" w14:textId="47F99DBB" w:rsidR="00481297" w:rsidRPr="00D47BCC" w:rsidRDefault="00481297" w:rsidP="00D47BCC">
      <w:pPr>
        <w:pStyle w:val="NoSpacing"/>
      </w:pPr>
    </w:p>
    <w:p w14:paraId="4555E1F9" w14:textId="2027A1C1" w:rsidR="008E27DC" w:rsidRDefault="00481297" w:rsidP="008E27DC">
      <w:pPr>
        <w:pStyle w:val="NoSpacing"/>
        <w:rPr>
          <w:rFonts w:ascii="Arial" w:hAnsi="Arial" w:cs="Arial"/>
          <w:sz w:val="24"/>
          <w:szCs w:val="24"/>
        </w:rPr>
      </w:pPr>
      <w:r>
        <w:rPr>
          <w:rFonts w:ascii="Arial" w:hAnsi="Arial" w:cs="Arial"/>
          <w:sz w:val="24"/>
          <w:szCs w:val="24"/>
        </w:rPr>
        <w:t xml:space="preserve">For some </w:t>
      </w:r>
      <w:r w:rsidR="000A1E79">
        <w:rPr>
          <w:rFonts w:ascii="Arial" w:hAnsi="Arial" w:cs="Arial"/>
          <w:sz w:val="24"/>
          <w:szCs w:val="24"/>
        </w:rPr>
        <w:t>young people</w:t>
      </w:r>
      <w:r>
        <w:rPr>
          <w:rFonts w:ascii="Arial" w:hAnsi="Arial" w:cs="Arial"/>
          <w:sz w:val="24"/>
          <w:szCs w:val="24"/>
        </w:rPr>
        <w:t>, a</w:t>
      </w:r>
      <w:r w:rsidR="008E27DC" w:rsidRPr="008E27DC">
        <w:rPr>
          <w:rFonts w:ascii="Arial" w:hAnsi="Arial" w:cs="Arial"/>
          <w:sz w:val="24"/>
          <w:szCs w:val="24"/>
        </w:rPr>
        <w:t xml:space="preserve"> key focus of </w:t>
      </w:r>
      <w:r>
        <w:rPr>
          <w:rFonts w:ascii="Arial" w:hAnsi="Arial" w:cs="Arial"/>
          <w:sz w:val="24"/>
          <w:szCs w:val="24"/>
        </w:rPr>
        <w:t>the</w:t>
      </w:r>
      <w:r w:rsidR="008E27DC" w:rsidRPr="008E27DC">
        <w:rPr>
          <w:rFonts w:ascii="Arial" w:hAnsi="Arial" w:cs="Arial"/>
          <w:sz w:val="24"/>
          <w:szCs w:val="24"/>
        </w:rPr>
        <w:t xml:space="preserve"> teaching </w:t>
      </w:r>
      <w:r>
        <w:rPr>
          <w:rFonts w:ascii="Arial" w:hAnsi="Arial" w:cs="Arial"/>
          <w:sz w:val="24"/>
          <w:szCs w:val="24"/>
        </w:rPr>
        <w:t>will be to support</w:t>
      </w:r>
      <w:r w:rsidR="008E27DC" w:rsidRPr="008E27DC">
        <w:rPr>
          <w:rFonts w:ascii="Arial" w:hAnsi="Arial" w:cs="Arial"/>
          <w:sz w:val="24"/>
          <w:szCs w:val="24"/>
        </w:rPr>
        <w:t xml:space="preserve"> the</w:t>
      </w:r>
      <w:r w:rsidR="004A1203">
        <w:rPr>
          <w:rFonts w:ascii="Arial" w:hAnsi="Arial" w:cs="Arial"/>
          <w:sz w:val="24"/>
          <w:szCs w:val="24"/>
        </w:rPr>
        <w:t xml:space="preserve">ir acquisition </w:t>
      </w:r>
      <w:r w:rsidR="008E27DC" w:rsidRPr="008E27DC">
        <w:rPr>
          <w:rFonts w:ascii="Arial" w:hAnsi="Arial" w:cs="Arial"/>
          <w:sz w:val="24"/>
          <w:szCs w:val="24"/>
        </w:rPr>
        <w:t>of phonic</w:t>
      </w:r>
      <w:r w:rsidR="004A1203">
        <w:rPr>
          <w:rFonts w:ascii="Arial" w:hAnsi="Arial" w:cs="Arial"/>
          <w:sz w:val="24"/>
          <w:szCs w:val="24"/>
        </w:rPr>
        <w:t>s</w:t>
      </w:r>
      <w:r w:rsidR="008E27DC" w:rsidRPr="008E27DC">
        <w:rPr>
          <w:rFonts w:ascii="Arial" w:hAnsi="Arial" w:cs="Arial"/>
          <w:sz w:val="24"/>
          <w:szCs w:val="24"/>
        </w:rPr>
        <w:t xml:space="preserve"> </w:t>
      </w:r>
      <w:r w:rsidR="004A1203">
        <w:rPr>
          <w:rFonts w:ascii="Arial" w:hAnsi="Arial" w:cs="Arial"/>
          <w:sz w:val="24"/>
          <w:szCs w:val="24"/>
        </w:rPr>
        <w:t>knowledge</w:t>
      </w:r>
      <w:r w:rsidR="008E27DC" w:rsidRPr="008E27DC">
        <w:rPr>
          <w:rFonts w:ascii="Arial" w:hAnsi="Arial" w:cs="Arial"/>
          <w:sz w:val="24"/>
          <w:szCs w:val="24"/>
        </w:rPr>
        <w:t>.</w:t>
      </w:r>
      <w:r>
        <w:rPr>
          <w:rFonts w:ascii="Arial" w:hAnsi="Arial" w:cs="Arial"/>
          <w:sz w:val="24"/>
          <w:szCs w:val="24"/>
        </w:rPr>
        <w:t xml:space="preserve"> </w:t>
      </w:r>
      <w:r w:rsidR="008E27DC" w:rsidRPr="008E27DC">
        <w:rPr>
          <w:rFonts w:ascii="Arial" w:hAnsi="Arial" w:cs="Arial"/>
          <w:sz w:val="24"/>
          <w:szCs w:val="24"/>
        </w:rPr>
        <w:t xml:space="preserve">Our scheme for teaching phonics is </w:t>
      </w:r>
      <w:r>
        <w:rPr>
          <w:rFonts w:ascii="Arial" w:hAnsi="Arial" w:cs="Arial"/>
          <w:sz w:val="24"/>
          <w:szCs w:val="24"/>
        </w:rPr>
        <w:t>R</w:t>
      </w:r>
      <w:r w:rsidR="000A1E79">
        <w:rPr>
          <w:rFonts w:ascii="Arial" w:hAnsi="Arial" w:cs="Arial"/>
          <w:sz w:val="24"/>
          <w:szCs w:val="24"/>
        </w:rPr>
        <w:t xml:space="preserve">ead </w:t>
      </w:r>
      <w:r>
        <w:rPr>
          <w:rFonts w:ascii="Arial" w:hAnsi="Arial" w:cs="Arial"/>
          <w:sz w:val="24"/>
          <w:szCs w:val="24"/>
        </w:rPr>
        <w:t>W</w:t>
      </w:r>
      <w:r w:rsidR="000A1E79">
        <w:rPr>
          <w:rFonts w:ascii="Arial" w:hAnsi="Arial" w:cs="Arial"/>
          <w:sz w:val="24"/>
          <w:szCs w:val="24"/>
        </w:rPr>
        <w:t xml:space="preserve">rite </w:t>
      </w:r>
      <w:r>
        <w:rPr>
          <w:rFonts w:ascii="Arial" w:hAnsi="Arial" w:cs="Arial"/>
          <w:sz w:val="24"/>
          <w:szCs w:val="24"/>
        </w:rPr>
        <w:t>I</w:t>
      </w:r>
      <w:r w:rsidR="000A1E79">
        <w:rPr>
          <w:rFonts w:ascii="Arial" w:hAnsi="Arial" w:cs="Arial"/>
          <w:sz w:val="24"/>
          <w:szCs w:val="24"/>
        </w:rPr>
        <w:t>nc (RWI)</w:t>
      </w:r>
      <w:r w:rsidR="008E27DC" w:rsidRPr="008E27DC">
        <w:rPr>
          <w:rFonts w:ascii="Arial" w:hAnsi="Arial" w:cs="Arial"/>
          <w:sz w:val="24"/>
          <w:szCs w:val="24"/>
        </w:rPr>
        <w:t xml:space="preserve">. We use a wide range of teaching methods and resources to deliver lessons including games, videos and interactive whiteboard activities. A range of phonically decodable books are used for </w:t>
      </w:r>
      <w:r w:rsidR="000A1E79">
        <w:rPr>
          <w:rFonts w:ascii="Arial" w:hAnsi="Arial" w:cs="Arial"/>
          <w:sz w:val="24"/>
          <w:szCs w:val="24"/>
        </w:rPr>
        <w:t xml:space="preserve">young people </w:t>
      </w:r>
      <w:r w:rsidR="008E27DC" w:rsidRPr="008E27DC">
        <w:rPr>
          <w:rFonts w:ascii="Arial" w:hAnsi="Arial" w:cs="Arial"/>
          <w:sz w:val="24"/>
          <w:szCs w:val="24"/>
        </w:rPr>
        <w:t>to read. These high-quality books</w:t>
      </w:r>
      <w:r w:rsidR="004A1203">
        <w:rPr>
          <w:rFonts w:ascii="Arial" w:hAnsi="Arial" w:cs="Arial"/>
          <w:sz w:val="24"/>
          <w:szCs w:val="24"/>
        </w:rPr>
        <w:t xml:space="preserve">, with </w:t>
      </w:r>
      <w:r w:rsidR="000A1E79">
        <w:rPr>
          <w:rFonts w:ascii="Arial" w:hAnsi="Arial" w:cs="Arial"/>
          <w:sz w:val="24"/>
          <w:szCs w:val="24"/>
        </w:rPr>
        <w:t>age-appropriate</w:t>
      </w:r>
      <w:r w:rsidR="004A1203">
        <w:rPr>
          <w:rFonts w:ascii="Arial" w:hAnsi="Arial" w:cs="Arial"/>
          <w:sz w:val="24"/>
          <w:szCs w:val="24"/>
        </w:rPr>
        <w:t xml:space="preserve"> content,</w:t>
      </w:r>
      <w:r w:rsidR="008E27DC" w:rsidRPr="008E27DC">
        <w:rPr>
          <w:rFonts w:ascii="Arial" w:hAnsi="Arial" w:cs="Arial"/>
          <w:sz w:val="24"/>
          <w:szCs w:val="24"/>
        </w:rPr>
        <w:t xml:space="preserve"> </w:t>
      </w:r>
      <w:r>
        <w:rPr>
          <w:rFonts w:ascii="Arial" w:hAnsi="Arial" w:cs="Arial"/>
          <w:sz w:val="24"/>
          <w:szCs w:val="24"/>
        </w:rPr>
        <w:t>enable</w:t>
      </w:r>
      <w:r w:rsidR="008E27DC" w:rsidRPr="008E27DC">
        <w:rPr>
          <w:rFonts w:ascii="Arial" w:hAnsi="Arial" w:cs="Arial"/>
          <w:sz w:val="24"/>
          <w:szCs w:val="24"/>
        </w:rPr>
        <w:t xml:space="preserve"> the </w:t>
      </w:r>
      <w:r w:rsidR="000A1E79">
        <w:rPr>
          <w:rFonts w:ascii="Arial" w:hAnsi="Arial" w:cs="Arial"/>
          <w:sz w:val="24"/>
          <w:szCs w:val="24"/>
        </w:rPr>
        <w:t xml:space="preserve">young people </w:t>
      </w:r>
      <w:r w:rsidR="008E27DC" w:rsidRPr="008E27DC">
        <w:rPr>
          <w:rFonts w:ascii="Arial" w:hAnsi="Arial" w:cs="Arial"/>
          <w:sz w:val="24"/>
          <w:szCs w:val="24"/>
        </w:rPr>
        <w:t>to use and apply their phonic skills.</w:t>
      </w:r>
      <w:r w:rsidR="007834F3">
        <w:rPr>
          <w:rFonts w:ascii="Arial" w:hAnsi="Arial" w:cs="Arial"/>
          <w:sz w:val="24"/>
          <w:szCs w:val="24"/>
        </w:rPr>
        <w:t xml:space="preserve"> </w:t>
      </w:r>
      <w:r w:rsidR="007834F3" w:rsidRPr="000A1E79">
        <w:rPr>
          <w:rFonts w:ascii="Arial" w:hAnsi="Arial" w:cs="Arial"/>
          <w:sz w:val="24"/>
          <w:szCs w:val="24"/>
        </w:rPr>
        <w:t xml:space="preserve">Fresh Start </w:t>
      </w:r>
      <w:r w:rsidR="000A1E79">
        <w:rPr>
          <w:rFonts w:ascii="Arial" w:hAnsi="Arial" w:cs="Arial"/>
          <w:sz w:val="24"/>
          <w:szCs w:val="24"/>
        </w:rPr>
        <w:t xml:space="preserve">is </w:t>
      </w:r>
      <w:r w:rsidR="007834F3" w:rsidRPr="000A1E79">
        <w:rPr>
          <w:rFonts w:ascii="Arial" w:hAnsi="Arial" w:cs="Arial"/>
          <w:sz w:val="24"/>
          <w:szCs w:val="24"/>
        </w:rPr>
        <w:t>likely to be prominent</w:t>
      </w:r>
      <w:r w:rsidR="000A1E79">
        <w:rPr>
          <w:rFonts w:ascii="Arial" w:hAnsi="Arial" w:cs="Arial"/>
          <w:sz w:val="24"/>
          <w:szCs w:val="24"/>
        </w:rPr>
        <w:t xml:space="preserve"> in the timetable when a young person starts with us</w:t>
      </w:r>
      <w:r w:rsidR="007834F3" w:rsidRPr="000A1E79">
        <w:rPr>
          <w:rFonts w:ascii="Arial" w:hAnsi="Arial" w:cs="Arial"/>
          <w:sz w:val="24"/>
          <w:szCs w:val="24"/>
        </w:rPr>
        <w:t>.</w:t>
      </w:r>
      <w:r w:rsidR="000A1E79" w:rsidRPr="000A1E79">
        <w:rPr>
          <w:rFonts w:ascii="Arial" w:hAnsi="Arial" w:cs="Arial"/>
          <w:sz w:val="24"/>
          <w:szCs w:val="24"/>
        </w:rPr>
        <w:t xml:space="preserve"> Most young people referred to The Wildings are working below their age-related expectations. If, through their baseline reading assessment, their reading age is measured at lower than 9 years and 6 months, they will access RWI Fresh Start in order to accelerate their recovery. This program will enable colleagues to pinpoint areas of weakness and fast track progress to a level where young people can engage with our Enhancing Author curriculum. As young people progress through to the end of the Fresh Start program, they will transfer to the Accelerated Reader program to support further reading development.  </w:t>
      </w:r>
    </w:p>
    <w:p w14:paraId="2B753F95" w14:textId="4C150222" w:rsidR="00273912" w:rsidRDefault="00273912" w:rsidP="008E27DC">
      <w:pPr>
        <w:pStyle w:val="NoSpacing"/>
        <w:rPr>
          <w:rFonts w:ascii="Arial" w:hAnsi="Arial" w:cs="Arial"/>
          <w:sz w:val="24"/>
          <w:szCs w:val="24"/>
        </w:rPr>
      </w:pPr>
    </w:p>
    <w:p w14:paraId="5CFFA55F" w14:textId="51B64E51" w:rsidR="00273912" w:rsidRPr="007834F3" w:rsidRDefault="00273912" w:rsidP="008E27DC">
      <w:pPr>
        <w:pStyle w:val="NoSpacing"/>
        <w:rPr>
          <w:rFonts w:ascii="Arial" w:hAnsi="Arial" w:cs="Arial"/>
          <w:color w:val="FF0000"/>
          <w:sz w:val="24"/>
          <w:szCs w:val="24"/>
        </w:rPr>
      </w:pPr>
      <w:r>
        <w:rPr>
          <w:rFonts w:ascii="Arial" w:hAnsi="Arial" w:cs="Arial"/>
          <w:sz w:val="24"/>
          <w:szCs w:val="24"/>
        </w:rPr>
        <w:t xml:space="preserve">Young people will be able to build their own personal library of books through the Accelerated Reader program. Progress in reading will be monitored 6 times a year, ensuring that progress is maximised and books are selected at optimum levels to ensure that progress is maximised. </w:t>
      </w:r>
    </w:p>
    <w:p w14:paraId="40E22A9D" w14:textId="3F899E14" w:rsidR="00287D22" w:rsidRDefault="00287D22" w:rsidP="008E27DC">
      <w:pPr>
        <w:pStyle w:val="NoSpacing"/>
        <w:rPr>
          <w:rFonts w:ascii="Arial" w:hAnsi="Arial" w:cs="Arial"/>
          <w:sz w:val="24"/>
          <w:szCs w:val="24"/>
        </w:rPr>
      </w:pPr>
    </w:p>
    <w:p w14:paraId="1D824553" w14:textId="005A0140" w:rsidR="00287D22" w:rsidRPr="003D0681" w:rsidRDefault="00287D22" w:rsidP="008E27DC">
      <w:pPr>
        <w:pStyle w:val="NoSpacing"/>
        <w:rPr>
          <w:rFonts w:ascii="Arial" w:hAnsi="Arial" w:cs="Arial"/>
          <w:color w:val="FF0000"/>
          <w:sz w:val="24"/>
          <w:szCs w:val="24"/>
        </w:rPr>
      </w:pPr>
      <w:r>
        <w:rPr>
          <w:rFonts w:ascii="Arial" w:hAnsi="Arial" w:cs="Arial"/>
          <w:sz w:val="24"/>
          <w:szCs w:val="24"/>
        </w:rPr>
        <w:t xml:space="preserve">Colleagues carefully consider curriculum balance when phonics is required. To be effective, </w:t>
      </w:r>
      <w:r w:rsidR="000A1E79">
        <w:rPr>
          <w:rFonts w:ascii="Arial" w:hAnsi="Arial" w:cs="Arial"/>
          <w:sz w:val="24"/>
          <w:szCs w:val="24"/>
        </w:rPr>
        <w:t xml:space="preserve">young people </w:t>
      </w:r>
      <w:r>
        <w:rPr>
          <w:rFonts w:ascii="Arial" w:hAnsi="Arial" w:cs="Arial"/>
          <w:sz w:val="24"/>
          <w:szCs w:val="24"/>
        </w:rPr>
        <w:t xml:space="preserve">will require daily sessions of between 10 and 30 minutes, depending on the nature of need. Often, there will be capacity in the timetable to enable this to occur without disrupting the time spent teaching the other subjects. Where more time is required, the </w:t>
      </w:r>
      <w:r w:rsidR="004A1203">
        <w:rPr>
          <w:rFonts w:ascii="Arial" w:hAnsi="Arial" w:cs="Arial"/>
          <w:sz w:val="24"/>
          <w:szCs w:val="24"/>
        </w:rPr>
        <w:t>P</w:t>
      </w:r>
      <w:r>
        <w:rPr>
          <w:rFonts w:ascii="Arial" w:hAnsi="Arial" w:cs="Arial"/>
          <w:sz w:val="24"/>
          <w:szCs w:val="24"/>
        </w:rPr>
        <w:t>rincipal will ensure that an appropriate balance is achieved</w:t>
      </w:r>
      <w:r w:rsidR="004A1203">
        <w:rPr>
          <w:rFonts w:ascii="Arial" w:hAnsi="Arial" w:cs="Arial"/>
          <w:sz w:val="24"/>
          <w:szCs w:val="24"/>
        </w:rPr>
        <w:t xml:space="preserve"> -</w:t>
      </w:r>
      <w:r>
        <w:rPr>
          <w:rFonts w:ascii="Arial" w:hAnsi="Arial" w:cs="Arial"/>
          <w:sz w:val="24"/>
          <w:szCs w:val="24"/>
        </w:rPr>
        <w:t xml:space="preserve"> through discussion with colleagues and parents / carers.</w:t>
      </w:r>
    </w:p>
    <w:p w14:paraId="0ACAF7C9" w14:textId="77777777" w:rsidR="008E27DC" w:rsidRPr="003D0681" w:rsidRDefault="008E27DC" w:rsidP="008E27DC">
      <w:pPr>
        <w:pStyle w:val="NoSpacing"/>
        <w:rPr>
          <w:rFonts w:ascii="Arial" w:hAnsi="Arial" w:cs="Arial"/>
          <w:color w:val="FF0000"/>
          <w:sz w:val="24"/>
          <w:szCs w:val="24"/>
        </w:rPr>
      </w:pPr>
      <w:r w:rsidRPr="003D0681">
        <w:rPr>
          <w:rFonts w:ascii="Arial" w:hAnsi="Arial" w:cs="Arial"/>
          <w:color w:val="FF0000"/>
          <w:sz w:val="24"/>
          <w:szCs w:val="24"/>
        </w:rPr>
        <w:t> </w:t>
      </w:r>
    </w:p>
    <w:p w14:paraId="3C64EAAC" w14:textId="59E76D57" w:rsidR="008E27DC" w:rsidRPr="00273912" w:rsidRDefault="00FD6F40" w:rsidP="008E27DC">
      <w:pPr>
        <w:pStyle w:val="NoSpacing"/>
        <w:rPr>
          <w:rFonts w:ascii="Arial" w:hAnsi="Arial" w:cs="Arial"/>
          <w:color w:val="FF0000"/>
          <w:sz w:val="24"/>
          <w:szCs w:val="24"/>
          <w:bdr w:val="none" w:sz="0" w:space="0" w:color="auto" w:frame="1"/>
        </w:rPr>
      </w:pPr>
      <w:r w:rsidRPr="00FD6F40">
        <w:rPr>
          <w:rFonts w:ascii="Arial" w:hAnsi="Arial" w:cs="Arial"/>
          <w:sz w:val="24"/>
          <w:szCs w:val="24"/>
          <w:bdr w:val="none" w:sz="0" w:space="0" w:color="auto" w:frame="1"/>
        </w:rPr>
        <w:t xml:space="preserve">Colleagues will frequently listen to each </w:t>
      </w:r>
      <w:r w:rsidR="000A1E79">
        <w:rPr>
          <w:rFonts w:ascii="Arial" w:hAnsi="Arial" w:cs="Arial"/>
          <w:sz w:val="24"/>
          <w:szCs w:val="24"/>
          <w:bdr w:val="none" w:sz="0" w:space="0" w:color="auto" w:frame="1"/>
        </w:rPr>
        <w:t>young person</w:t>
      </w:r>
      <w:r w:rsidRPr="00FD6F40">
        <w:rPr>
          <w:rFonts w:ascii="Arial" w:hAnsi="Arial" w:cs="Arial"/>
          <w:sz w:val="24"/>
          <w:szCs w:val="24"/>
          <w:bdr w:val="none" w:sz="0" w:space="0" w:color="auto" w:frame="1"/>
        </w:rPr>
        <w:t xml:space="preserve"> read. They will use this knowledge, alongside more formal testing</w:t>
      </w:r>
      <w:r>
        <w:rPr>
          <w:rFonts w:ascii="Arial" w:hAnsi="Arial" w:cs="Arial"/>
          <w:sz w:val="24"/>
          <w:szCs w:val="24"/>
          <w:bdr w:val="none" w:sz="0" w:space="0" w:color="auto" w:frame="1"/>
        </w:rPr>
        <w:t xml:space="preserve"> and that from Accelerated Reader</w:t>
      </w:r>
      <w:r w:rsidRPr="00FD6F40">
        <w:rPr>
          <w:rFonts w:ascii="Arial" w:hAnsi="Arial" w:cs="Arial"/>
          <w:sz w:val="24"/>
          <w:szCs w:val="24"/>
          <w:bdr w:val="none" w:sz="0" w:space="0" w:color="auto" w:frame="1"/>
        </w:rPr>
        <w:t xml:space="preserve">, to help them gauge how well each </w:t>
      </w:r>
      <w:r w:rsidR="000A1E79">
        <w:rPr>
          <w:rFonts w:ascii="Arial" w:hAnsi="Arial" w:cs="Arial"/>
          <w:sz w:val="24"/>
          <w:szCs w:val="24"/>
          <w:bdr w:val="none" w:sz="0" w:space="0" w:color="auto" w:frame="1"/>
        </w:rPr>
        <w:t>young person</w:t>
      </w:r>
      <w:r w:rsidRPr="00FD6F40">
        <w:rPr>
          <w:rFonts w:ascii="Arial" w:hAnsi="Arial" w:cs="Arial"/>
          <w:sz w:val="24"/>
          <w:szCs w:val="24"/>
          <w:bdr w:val="none" w:sz="0" w:space="0" w:color="auto" w:frame="1"/>
        </w:rPr>
        <w:t xml:space="preserve"> is progressing in their readin</w:t>
      </w:r>
      <w:r w:rsidRPr="000A1E79">
        <w:rPr>
          <w:rFonts w:ascii="Arial" w:hAnsi="Arial" w:cs="Arial"/>
          <w:sz w:val="24"/>
          <w:szCs w:val="24"/>
          <w:bdr w:val="none" w:sz="0" w:space="0" w:color="auto" w:frame="1"/>
        </w:rPr>
        <w:t xml:space="preserve">g. Each </w:t>
      </w:r>
      <w:r w:rsidR="000A1E79">
        <w:rPr>
          <w:rFonts w:ascii="Arial" w:hAnsi="Arial" w:cs="Arial"/>
          <w:sz w:val="24"/>
          <w:szCs w:val="24"/>
          <w:bdr w:val="none" w:sz="0" w:space="0" w:color="auto" w:frame="1"/>
        </w:rPr>
        <w:t>young person’s</w:t>
      </w:r>
      <w:r w:rsidRPr="000A1E79">
        <w:rPr>
          <w:rFonts w:ascii="Arial" w:hAnsi="Arial" w:cs="Arial"/>
          <w:sz w:val="24"/>
          <w:szCs w:val="24"/>
          <w:bdr w:val="none" w:sz="0" w:space="0" w:color="auto" w:frame="1"/>
        </w:rPr>
        <w:t xml:space="preserve"> progress in reading will be the most important </w:t>
      </w:r>
      <w:r w:rsidR="004E5D28" w:rsidRPr="000A1E79">
        <w:rPr>
          <w:rFonts w:ascii="Arial" w:hAnsi="Arial" w:cs="Arial"/>
          <w:sz w:val="24"/>
          <w:szCs w:val="24"/>
          <w:bdr w:val="none" w:sz="0" w:space="0" w:color="auto" w:frame="1"/>
        </w:rPr>
        <w:t xml:space="preserve">academic </w:t>
      </w:r>
      <w:r w:rsidRPr="000A1E79">
        <w:rPr>
          <w:rFonts w:ascii="Arial" w:hAnsi="Arial" w:cs="Arial"/>
          <w:sz w:val="24"/>
          <w:szCs w:val="24"/>
          <w:bdr w:val="none" w:sz="0" w:space="0" w:color="auto" w:frame="1"/>
        </w:rPr>
        <w:t xml:space="preserve">influence in determining which curriculum pathway the </w:t>
      </w:r>
      <w:r w:rsidR="000A1E79">
        <w:rPr>
          <w:rFonts w:ascii="Arial" w:hAnsi="Arial" w:cs="Arial"/>
          <w:sz w:val="24"/>
          <w:szCs w:val="24"/>
          <w:bdr w:val="none" w:sz="0" w:space="0" w:color="auto" w:frame="1"/>
        </w:rPr>
        <w:t>young person</w:t>
      </w:r>
      <w:r w:rsidRPr="000A1E79">
        <w:rPr>
          <w:rFonts w:ascii="Arial" w:hAnsi="Arial" w:cs="Arial"/>
          <w:sz w:val="24"/>
          <w:szCs w:val="24"/>
          <w:bdr w:val="none" w:sz="0" w:space="0" w:color="auto" w:frame="1"/>
        </w:rPr>
        <w:t xml:space="preserve"> is to engage with.</w:t>
      </w:r>
    </w:p>
    <w:p w14:paraId="2B3BCFD0" w14:textId="77777777" w:rsidR="003B738E" w:rsidRPr="003B738E" w:rsidRDefault="003B738E" w:rsidP="003B738E">
      <w:pPr>
        <w:pStyle w:val="NoSpacing"/>
        <w:rPr>
          <w:rFonts w:asciiTheme="minorHAnsi" w:hAnsiTheme="minorHAnsi"/>
          <w:sz w:val="24"/>
          <w:szCs w:val="24"/>
        </w:rPr>
      </w:pPr>
    </w:p>
    <w:tbl>
      <w:tblPr>
        <w:tblStyle w:val="TableGrid"/>
        <w:tblW w:w="45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08"/>
        <w:gridCol w:w="1861"/>
        <w:gridCol w:w="1452"/>
      </w:tblGrid>
      <w:tr w:rsidR="000A1E79" w:rsidRPr="009333DA" w14:paraId="24B10430" w14:textId="77777777" w:rsidTr="006A7390">
        <w:trPr>
          <w:trHeight w:val="485"/>
          <w:jc w:val="center"/>
        </w:trPr>
        <w:tc>
          <w:tcPr>
            <w:tcW w:w="1208" w:type="dxa"/>
            <w:vAlign w:val="center"/>
          </w:tcPr>
          <w:p w14:paraId="29245E59" w14:textId="77777777" w:rsidR="000A1E79" w:rsidRPr="009333DA" w:rsidRDefault="000A1E79" w:rsidP="006A7390">
            <w:pPr>
              <w:jc w:val="center"/>
              <w:rPr>
                <w:rFonts w:asciiTheme="minorHAnsi" w:hAnsiTheme="minorHAnsi"/>
                <w:b/>
              </w:rPr>
            </w:pPr>
            <w:r w:rsidRPr="009333DA">
              <w:rPr>
                <w:rFonts w:asciiTheme="minorHAnsi" w:hAnsiTheme="minorHAnsi"/>
                <w:b/>
              </w:rPr>
              <w:t>Stage</w:t>
            </w:r>
          </w:p>
        </w:tc>
        <w:tc>
          <w:tcPr>
            <w:tcW w:w="1861" w:type="dxa"/>
          </w:tcPr>
          <w:p w14:paraId="73443FC4" w14:textId="77777777" w:rsidR="000A1E79" w:rsidRPr="009333DA" w:rsidRDefault="000A1E79" w:rsidP="006A7390">
            <w:pPr>
              <w:jc w:val="center"/>
              <w:rPr>
                <w:rFonts w:asciiTheme="minorHAnsi" w:hAnsiTheme="minorHAnsi"/>
                <w:b/>
              </w:rPr>
            </w:pPr>
            <w:r w:rsidRPr="009333DA">
              <w:rPr>
                <w:rFonts w:asciiTheme="minorHAnsi" w:hAnsiTheme="minorHAnsi"/>
                <w:b/>
              </w:rPr>
              <w:t>National curriculum year group</w:t>
            </w:r>
          </w:p>
        </w:tc>
        <w:tc>
          <w:tcPr>
            <w:tcW w:w="1452" w:type="dxa"/>
          </w:tcPr>
          <w:p w14:paraId="1C4F2E54" w14:textId="77777777" w:rsidR="000A1E79" w:rsidRPr="009333DA" w:rsidRDefault="000A1E79" w:rsidP="006A7390">
            <w:pPr>
              <w:jc w:val="center"/>
              <w:rPr>
                <w:rFonts w:asciiTheme="minorHAnsi" w:hAnsiTheme="minorHAnsi"/>
                <w:b/>
              </w:rPr>
            </w:pPr>
            <w:r w:rsidRPr="009333DA">
              <w:rPr>
                <w:rFonts w:asciiTheme="minorHAnsi" w:hAnsiTheme="minorHAnsi"/>
                <w:b/>
              </w:rPr>
              <w:t>Wildings pathway</w:t>
            </w:r>
          </w:p>
        </w:tc>
      </w:tr>
      <w:tr w:rsidR="000A1E79" w:rsidRPr="009333DA" w14:paraId="649D5092" w14:textId="77777777" w:rsidTr="000A1E79">
        <w:trPr>
          <w:trHeight w:val="866"/>
          <w:jc w:val="center"/>
        </w:trPr>
        <w:tc>
          <w:tcPr>
            <w:tcW w:w="1208" w:type="dxa"/>
            <w:shd w:val="clear" w:color="auto" w:fill="auto"/>
            <w:vAlign w:val="center"/>
          </w:tcPr>
          <w:p w14:paraId="35FA7DB4" w14:textId="77777777" w:rsidR="000A1E79" w:rsidRDefault="000A1E79" w:rsidP="006A7390">
            <w:pPr>
              <w:jc w:val="center"/>
              <w:rPr>
                <w:rFonts w:asciiTheme="minorHAnsi" w:hAnsiTheme="minorHAnsi"/>
              </w:rPr>
            </w:pPr>
            <w:r w:rsidRPr="009333DA">
              <w:rPr>
                <w:rFonts w:asciiTheme="minorHAnsi" w:hAnsiTheme="minorHAnsi"/>
              </w:rPr>
              <w:t>P</w:t>
            </w:r>
            <w:r>
              <w:rPr>
                <w:rFonts w:asciiTheme="minorHAnsi" w:hAnsiTheme="minorHAnsi"/>
              </w:rPr>
              <w:t>1</w:t>
            </w:r>
          </w:p>
          <w:p w14:paraId="65B53B2E" w14:textId="77777777" w:rsidR="000A1E79" w:rsidRDefault="000A1E79" w:rsidP="006A7390">
            <w:pPr>
              <w:jc w:val="center"/>
              <w:rPr>
                <w:rFonts w:asciiTheme="minorHAnsi" w:hAnsiTheme="minorHAnsi"/>
              </w:rPr>
            </w:pPr>
            <w:r>
              <w:rPr>
                <w:rFonts w:asciiTheme="minorHAnsi" w:hAnsiTheme="minorHAnsi"/>
              </w:rPr>
              <w:t>P2</w:t>
            </w:r>
          </w:p>
          <w:p w14:paraId="74AC36EA" w14:textId="77777777" w:rsidR="000A1E79" w:rsidRPr="009333DA" w:rsidRDefault="000A1E79" w:rsidP="006A7390">
            <w:pPr>
              <w:jc w:val="center"/>
              <w:rPr>
                <w:rFonts w:asciiTheme="minorHAnsi" w:hAnsiTheme="minorHAnsi"/>
              </w:rPr>
            </w:pPr>
            <w:r>
              <w:rPr>
                <w:rFonts w:asciiTheme="minorHAnsi" w:hAnsiTheme="minorHAnsi"/>
              </w:rPr>
              <w:t>P3</w:t>
            </w:r>
          </w:p>
        </w:tc>
        <w:tc>
          <w:tcPr>
            <w:tcW w:w="1861" w:type="dxa"/>
            <w:vAlign w:val="center"/>
          </w:tcPr>
          <w:p w14:paraId="0DC39BBB" w14:textId="77777777" w:rsidR="000A1E79" w:rsidRPr="009333DA" w:rsidRDefault="000A1E79" w:rsidP="006A7390">
            <w:pPr>
              <w:jc w:val="center"/>
              <w:rPr>
                <w:rFonts w:asciiTheme="minorHAnsi" w:hAnsiTheme="minorHAnsi"/>
              </w:rPr>
            </w:pPr>
            <w:r w:rsidRPr="009333DA">
              <w:rPr>
                <w:rFonts w:asciiTheme="minorHAnsi" w:hAnsiTheme="minorHAnsi"/>
              </w:rPr>
              <w:t>EY</w:t>
            </w:r>
          </w:p>
        </w:tc>
        <w:tc>
          <w:tcPr>
            <w:tcW w:w="1452" w:type="dxa"/>
            <w:vAlign w:val="center"/>
          </w:tcPr>
          <w:p w14:paraId="243A1DFE" w14:textId="77777777" w:rsidR="000A1E79" w:rsidRPr="009333DA" w:rsidRDefault="000A1E79" w:rsidP="000A1E79">
            <w:pPr>
              <w:pStyle w:val="NoSpacing"/>
              <w:jc w:val="center"/>
              <w:rPr>
                <w:rFonts w:asciiTheme="minorHAnsi" w:hAnsiTheme="minorHAnsi" w:cstheme="minorHAnsi"/>
              </w:rPr>
            </w:pPr>
            <w:r w:rsidRPr="009333DA">
              <w:rPr>
                <w:rFonts w:asciiTheme="minorHAnsi" w:hAnsiTheme="minorHAnsi" w:cstheme="minorHAnsi"/>
                <w:highlight w:val="yellow"/>
              </w:rPr>
              <w:t>Recovery</w:t>
            </w:r>
          </w:p>
        </w:tc>
      </w:tr>
      <w:tr w:rsidR="000A1E79" w:rsidRPr="009333DA" w14:paraId="58AC3645" w14:textId="77777777" w:rsidTr="000A1E79">
        <w:trPr>
          <w:trHeight w:val="193"/>
          <w:jc w:val="center"/>
        </w:trPr>
        <w:tc>
          <w:tcPr>
            <w:tcW w:w="1208" w:type="dxa"/>
            <w:tcBorders>
              <w:bottom w:val="single" w:sz="2" w:space="0" w:color="auto"/>
            </w:tcBorders>
            <w:shd w:val="clear" w:color="auto" w:fill="auto"/>
            <w:vAlign w:val="center"/>
          </w:tcPr>
          <w:p w14:paraId="0228CCD5" w14:textId="77777777" w:rsidR="000A1E79" w:rsidRPr="009333DA" w:rsidRDefault="000A1E79" w:rsidP="006A7390">
            <w:pPr>
              <w:jc w:val="center"/>
              <w:rPr>
                <w:rFonts w:asciiTheme="minorHAnsi" w:hAnsiTheme="minorHAnsi"/>
              </w:rPr>
            </w:pPr>
            <w:r w:rsidRPr="009333DA">
              <w:rPr>
                <w:rFonts w:asciiTheme="minorHAnsi" w:hAnsiTheme="minorHAnsi"/>
              </w:rPr>
              <w:t>1</w:t>
            </w:r>
          </w:p>
        </w:tc>
        <w:tc>
          <w:tcPr>
            <w:tcW w:w="1861" w:type="dxa"/>
            <w:tcBorders>
              <w:bottom w:val="single" w:sz="2" w:space="0" w:color="auto"/>
            </w:tcBorders>
          </w:tcPr>
          <w:p w14:paraId="7246A80B" w14:textId="77777777" w:rsidR="000A1E79" w:rsidRPr="009333DA" w:rsidRDefault="000A1E79" w:rsidP="006A7390">
            <w:pPr>
              <w:jc w:val="center"/>
              <w:rPr>
                <w:rFonts w:asciiTheme="minorHAnsi" w:hAnsiTheme="minorHAnsi"/>
              </w:rPr>
            </w:pPr>
            <w:r w:rsidRPr="009333DA">
              <w:rPr>
                <w:rFonts w:asciiTheme="minorHAnsi" w:hAnsiTheme="minorHAnsi"/>
              </w:rPr>
              <w:t>1</w:t>
            </w:r>
          </w:p>
        </w:tc>
        <w:tc>
          <w:tcPr>
            <w:tcW w:w="1452" w:type="dxa"/>
            <w:vMerge w:val="restart"/>
            <w:vAlign w:val="center"/>
          </w:tcPr>
          <w:p w14:paraId="1BA9B5B2" w14:textId="77777777" w:rsidR="000A1E79" w:rsidRPr="009333DA" w:rsidRDefault="000A1E79" w:rsidP="000A1E79">
            <w:pPr>
              <w:pStyle w:val="NoSpacing"/>
              <w:jc w:val="center"/>
              <w:rPr>
                <w:rFonts w:asciiTheme="minorHAnsi" w:hAnsiTheme="minorHAnsi" w:cstheme="minorHAnsi"/>
              </w:rPr>
            </w:pPr>
            <w:r w:rsidRPr="009333DA">
              <w:rPr>
                <w:rFonts w:asciiTheme="minorHAnsi" w:hAnsiTheme="minorHAnsi" w:cstheme="minorHAnsi"/>
                <w:highlight w:val="green"/>
              </w:rPr>
              <w:t>Establishing</w:t>
            </w:r>
          </w:p>
        </w:tc>
      </w:tr>
      <w:tr w:rsidR="000A1E79" w:rsidRPr="009333DA" w14:paraId="29DE174C" w14:textId="77777777" w:rsidTr="000A1E79">
        <w:trPr>
          <w:trHeight w:val="103"/>
          <w:jc w:val="center"/>
        </w:trPr>
        <w:tc>
          <w:tcPr>
            <w:tcW w:w="1208" w:type="dxa"/>
            <w:tcBorders>
              <w:top w:val="single" w:sz="2" w:space="0" w:color="auto"/>
            </w:tcBorders>
            <w:shd w:val="clear" w:color="auto" w:fill="auto"/>
            <w:vAlign w:val="center"/>
          </w:tcPr>
          <w:p w14:paraId="61AACF47" w14:textId="77777777" w:rsidR="000A1E79" w:rsidRPr="009333DA" w:rsidRDefault="000A1E79" w:rsidP="006A7390">
            <w:pPr>
              <w:jc w:val="center"/>
              <w:rPr>
                <w:rFonts w:asciiTheme="minorHAnsi" w:hAnsiTheme="minorHAnsi"/>
              </w:rPr>
            </w:pPr>
            <w:r w:rsidRPr="009333DA">
              <w:rPr>
                <w:rFonts w:asciiTheme="minorHAnsi" w:hAnsiTheme="minorHAnsi"/>
              </w:rPr>
              <w:t>2</w:t>
            </w:r>
          </w:p>
        </w:tc>
        <w:tc>
          <w:tcPr>
            <w:tcW w:w="1861" w:type="dxa"/>
            <w:tcBorders>
              <w:top w:val="single" w:sz="2" w:space="0" w:color="auto"/>
            </w:tcBorders>
          </w:tcPr>
          <w:p w14:paraId="70DECB4E" w14:textId="77777777" w:rsidR="000A1E79" w:rsidRPr="009333DA" w:rsidRDefault="000A1E79" w:rsidP="006A7390">
            <w:pPr>
              <w:jc w:val="center"/>
              <w:rPr>
                <w:rFonts w:asciiTheme="minorHAnsi" w:hAnsiTheme="minorHAnsi"/>
              </w:rPr>
            </w:pPr>
            <w:r w:rsidRPr="009333DA">
              <w:rPr>
                <w:rFonts w:asciiTheme="minorHAnsi" w:hAnsiTheme="minorHAnsi"/>
              </w:rPr>
              <w:t>2</w:t>
            </w:r>
          </w:p>
        </w:tc>
        <w:tc>
          <w:tcPr>
            <w:tcW w:w="1452" w:type="dxa"/>
            <w:vMerge/>
            <w:vAlign w:val="center"/>
          </w:tcPr>
          <w:p w14:paraId="2E2A5A7C" w14:textId="77777777" w:rsidR="000A1E79" w:rsidRPr="009333DA" w:rsidRDefault="000A1E79" w:rsidP="000A1E79">
            <w:pPr>
              <w:jc w:val="center"/>
              <w:rPr>
                <w:rFonts w:asciiTheme="minorHAnsi" w:hAnsiTheme="minorHAnsi"/>
              </w:rPr>
            </w:pPr>
          </w:p>
        </w:tc>
      </w:tr>
      <w:tr w:rsidR="000A1E79" w:rsidRPr="009333DA" w14:paraId="335CCDCB" w14:textId="77777777" w:rsidTr="000A1E79">
        <w:trPr>
          <w:trHeight w:val="193"/>
          <w:jc w:val="center"/>
        </w:trPr>
        <w:tc>
          <w:tcPr>
            <w:tcW w:w="1208" w:type="dxa"/>
            <w:tcBorders>
              <w:bottom w:val="single" w:sz="2" w:space="0" w:color="auto"/>
            </w:tcBorders>
            <w:shd w:val="clear" w:color="auto" w:fill="auto"/>
            <w:vAlign w:val="center"/>
          </w:tcPr>
          <w:p w14:paraId="483086B1" w14:textId="77777777" w:rsidR="000A1E79" w:rsidRPr="009333DA" w:rsidRDefault="000A1E79" w:rsidP="006A7390">
            <w:pPr>
              <w:jc w:val="center"/>
              <w:rPr>
                <w:rFonts w:asciiTheme="minorHAnsi" w:hAnsiTheme="minorHAnsi"/>
              </w:rPr>
            </w:pPr>
            <w:r w:rsidRPr="009333DA">
              <w:rPr>
                <w:rFonts w:asciiTheme="minorHAnsi" w:hAnsiTheme="minorHAnsi"/>
              </w:rPr>
              <w:t>3</w:t>
            </w:r>
          </w:p>
        </w:tc>
        <w:tc>
          <w:tcPr>
            <w:tcW w:w="1861" w:type="dxa"/>
            <w:tcBorders>
              <w:bottom w:val="single" w:sz="2" w:space="0" w:color="auto"/>
            </w:tcBorders>
          </w:tcPr>
          <w:p w14:paraId="08AC041A" w14:textId="77777777" w:rsidR="000A1E79" w:rsidRPr="009333DA" w:rsidRDefault="000A1E79" w:rsidP="006A7390">
            <w:pPr>
              <w:jc w:val="center"/>
              <w:rPr>
                <w:rFonts w:asciiTheme="minorHAnsi" w:hAnsiTheme="minorHAnsi"/>
              </w:rPr>
            </w:pPr>
            <w:r w:rsidRPr="009333DA">
              <w:rPr>
                <w:rFonts w:asciiTheme="minorHAnsi" w:hAnsiTheme="minorHAnsi"/>
              </w:rPr>
              <w:t>3</w:t>
            </w:r>
          </w:p>
        </w:tc>
        <w:tc>
          <w:tcPr>
            <w:tcW w:w="1452" w:type="dxa"/>
            <w:vMerge w:val="restart"/>
            <w:vAlign w:val="center"/>
          </w:tcPr>
          <w:p w14:paraId="4A261E14" w14:textId="77777777" w:rsidR="000A1E79" w:rsidRPr="009333DA" w:rsidRDefault="000A1E79" w:rsidP="000A1E79">
            <w:pPr>
              <w:pStyle w:val="NoSpacing"/>
              <w:jc w:val="center"/>
              <w:rPr>
                <w:rFonts w:asciiTheme="minorHAnsi" w:hAnsiTheme="minorHAnsi" w:cstheme="minorHAnsi"/>
              </w:rPr>
            </w:pPr>
            <w:r w:rsidRPr="009333DA">
              <w:rPr>
                <w:rFonts w:asciiTheme="minorHAnsi" w:hAnsiTheme="minorHAnsi" w:cstheme="minorHAnsi"/>
                <w:highlight w:val="cyan"/>
              </w:rPr>
              <w:t>Developing</w:t>
            </w:r>
          </w:p>
        </w:tc>
      </w:tr>
      <w:tr w:rsidR="000A1E79" w:rsidRPr="009333DA" w14:paraId="6BF51510" w14:textId="77777777" w:rsidTr="000A1E79">
        <w:trPr>
          <w:trHeight w:val="103"/>
          <w:jc w:val="center"/>
        </w:trPr>
        <w:tc>
          <w:tcPr>
            <w:tcW w:w="1208" w:type="dxa"/>
            <w:tcBorders>
              <w:top w:val="single" w:sz="2" w:space="0" w:color="auto"/>
              <w:bottom w:val="single" w:sz="2" w:space="0" w:color="auto"/>
            </w:tcBorders>
            <w:shd w:val="clear" w:color="auto" w:fill="auto"/>
            <w:vAlign w:val="center"/>
          </w:tcPr>
          <w:p w14:paraId="0A4FA723" w14:textId="77777777" w:rsidR="000A1E79" w:rsidRPr="009333DA" w:rsidRDefault="000A1E79" w:rsidP="006A7390">
            <w:pPr>
              <w:jc w:val="center"/>
              <w:rPr>
                <w:rFonts w:asciiTheme="minorHAnsi" w:hAnsiTheme="minorHAnsi"/>
              </w:rPr>
            </w:pPr>
            <w:r w:rsidRPr="009333DA">
              <w:rPr>
                <w:rFonts w:asciiTheme="minorHAnsi" w:hAnsiTheme="minorHAnsi"/>
              </w:rPr>
              <w:t>4</w:t>
            </w:r>
          </w:p>
        </w:tc>
        <w:tc>
          <w:tcPr>
            <w:tcW w:w="1861" w:type="dxa"/>
            <w:tcBorders>
              <w:top w:val="single" w:sz="2" w:space="0" w:color="auto"/>
              <w:bottom w:val="single" w:sz="2" w:space="0" w:color="auto"/>
            </w:tcBorders>
          </w:tcPr>
          <w:p w14:paraId="2CCB9AA5" w14:textId="77777777" w:rsidR="000A1E79" w:rsidRPr="009333DA" w:rsidRDefault="000A1E79" w:rsidP="006A7390">
            <w:pPr>
              <w:jc w:val="center"/>
              <w:rPr>
                <w:rFonts w:asciiTheme="minorHAnsi" w:hAnsiTheme="minorHAnsi"/>
              </w:rPr>
            </w:pPr>
            <w:r w:rsidRPr="009333DA">
              <w:rPr>
                <w:rFonts w:asciiTheme="minorHAnsi" w:hAnsiTheme="minorHAnsi"/>
              </w:rPr>
              <w:t>4</w:t>
            </w:r>
          </w:p>
        </w:tc>
        <w:tc>
          <w:tcPr>
            <w:tcW w:w="1452" w:type="dxa"/>
            <w:vMerge/>
            <w:tcBorders>
              <w:bottom w:val="single" w:sz="2" w:space="0" w:color="auto"/>
            </w:tcBorders>
            <w:vAlign w:val="center"/>
          </w:tcPr>
          <w:p w14:paraId="19F876DF" w14:textId="77777777" w:rsidR="000A1E79" w:rsidRPr="009333DA" w:rsidRDefault="000A1E79" w:rsidP="000A1E79">
            <w:pPr>
              <w:pStyle w:val="NoSpacing"/>
              <w:jc w:val="center"/>
              <w:rPr>
                <w:rFonts w:asciiTheme="minorHAnsi" w:hAnsiTheme="minorHAnsi" w:cstheme="minorHAnsi"/>
              </w:rPr>
            </w:pPr>
          </w:p>
        </w:tc>
      </w:tr>
      <w:tr w:rsidR="000A1E79" w:rsidRPr="009333DA" w14:paraId="35AD8090" w14:textId="77777777" w:rsidTr="000A1E79">
        <w:trPr>
          <w:trHeight w:val="182"/>
          <w:jc w:val="center"/>
        </w:trPr>
        <w:tc>
          <w:tcPr>
            <w:tcW w:w="1208" w:type="dxa"/>
            <w:tcBorders>
              <w:top w:val="single" w:sz="2" w:space="0" w:color="auto"/>
              <w:bottom w:val="single" w:sz="2" w:space="0" w:color="auto"/>
            </w:tcBorders>
            <w:shd w:val="clear" w:color="auto" w:fill="auto"/>
            <w:vAlign w:val="center"/>
          </w:tcPr>
          <w:p w14:paraId="3435EEAA" w14:textId="77777777" w:rsidR="000A1E79" w:rsidRPr="009333DA" w:rsidRDefault="000A1E79" w:rsidP="006A7390">
            <w:pPr>
              <w:jc w:val="center"/>
              <w:rPr>
                <w:rFonts w:asciiTheme="minorHAnsi" w:hAnsiTheme="minorHAnsi"/>
              </w:rPr>
            </w:pPr>
            <w:r w:rsidRPr="009333DA">
              <w:rPr>
                <w:rFonts w:asciiTheme="minorHAnsi" w:hAnsiTheme="minorHAnsi"/>
              </w:rPr>
              <w:t>5</w:t>
            </w:r>
          </w:p>
        </w:tc>
        <w:tc>
          <w:tcPr>
            <w:tcW w:w="1861" w:type="dxa"/>
            <w:tcBorders>
              <w:top w:val="single" w:sz="2" w:space="0" w:color="auto"/>
              <w:bottom w:val="single" w:sz="2" w:space="0" w:color="auto"/>
            </w:tcBorders>
          </w:tcPr>
          <w:p w14:paraId="1411C04F" w14:textId="77777777" w:rsidR="000A1E79" w:rsidRPr="009333DA" w:rsidRDefault="000A1E79" w:rsidP="006A7390">
            <w:pPr>
              <w:jc w:val="center"/>
              <w:rPr>
                <w:rFonts w:asciiTheme="minorHAnsi" w:hAnsiTheme="minorHAnsi"/>
              </w:rPr>
            </w:pPr>
            <w:r w:rsidRPr="009333DA">
              <w:rPr>
                <w:rFonts w:asciiTheme="minorHAnsi" w:hAnsiTheme="minorHAnsi"/>
              </w:rPr>
              <w:t>5</w:t>
            </w:r>
          </w:p>
        </w:tc>
        <w:tc>
          <w:tcPr>
            <w:tcW w:w="1452" w:type="dxa"/>
            <w:vMerge w:val="restart"/>
            <w:tcBorders>
              <w:top w:val="single" w:sz="2" w:space="0" w:color="auto"/>
            </w:tcBorders>
            <w:vAlign w:val="center"/>
          </w:tcPr>
          <w:p w14:paraId="080B544B" w14:textId="77777777" w:rsidR="000A1E79" w:rsidRPr="009333DA" w:rsidRDefault="000A1E79" w:rsidP="000A1E79">
            <w:pPr>
              <w:jc w:val="center"/>
              <w:rPr>
                <w:rFonts w:asciiTheme="minorHAnsi" w:hAnsiTheme="minorHAnsi"/>
              </w:rPr>
            </w:pPr>
            <w:r w:rsidRPr="009333DA">
              <w:rPr>
                <w:rFonts w:asciiTheme="minorHAnsi" w:hAnsiTheme="minorHAnsi" w:cstheme="minorHAnsi"/>
                <w:highlight w:val="magenta"/>
              </w:rPr>
              <w:t>Enhancing</w:t>
            </w:r>
          </w:p>
        </w:tc>
      </w:tr>
      <w:tr w:rsidR="000A1E79" w:rsidRPr="009333DA" w14:paraId="1FCBF509" w14:textId="77777777" w:rsidTr="000A1E79">
        <w:trPr>
          <w:trHeight w:val="103"/>
          <w:jc w:val="center"/>
        </w:trPr>
        <w:tc>
          <w:tcPr>
            <w:tcW w:w="1208" w:type="dxa"/>
            <w:tcBorders>
              <w:top w:val="single" w:sz="2" w:space="0" w:color="auto"/>
            </w:tcBorders>
            <w:shd w:val="clear" w:color="auto" w:fill="auto"/>
            <w:vAlign w:val="center"/>
          </w:tcPr>
          <w:p w14:paraId="5C29DA72" w14:textId="77777777" w:rsidR="000A1E79" w:rsidRPr="009333DA" w:rsidRDefault="000A1E79" w:rsidP="006A7390">
            <w:pPr>
              <w:jc w:val="center"/>
              <w:rPr>
                <w:rFonts w:asciiTheme="minorHAnsi" w:hAnsiTheme="minorHAnsi"/>
              </w:rPr>
            </w:pPr>
            <w:r w:rsidRPr="009333DA">
              <w:rPr>
                <w:rFonts w:asciiTheme="minorHAnsi" w:hAnsiTheme="minorHAnsi"/>
              </w:rPr>
              <w:t>6</w:t>
            </w:r>
          </w:p>
        </w:tc>
        <w:tc>
          <w:tcPr>
            <w:tcW w:w="1861" w:type="dxa"/>
            <w:tcBorders>
              <w:top w:val="single" w:sz="2" w:space="0" w:color="auto"/>
            </w:tcBorders>
          </w:tcPr>
          <w:p w14:paraId="4CAE21DA" w14:textId="77777777" w:rsidR="000A1E79" w:rsidRPr="009333DA" w:rsidRDefault="000A1E79" w:rsidP="006A7390">
            <w:pPr>
              <w:jc w:val="center"/>
              <w:rPr>
                <w:rFonts w:asciiTheme="minorHAnsi" w:hAnsiTheme="minorHAnsi"/>
              </w:rPr>
            </w:pPr>
            <w:r w:rsidRPr="009333DA">
              <w:rPr>
                <w:rFonts w:asciiTheme="minorHAnsi" w:hAnsiTheme="minorHAnsi"/>
              </w:rPr>
              <w:t>6</w:t>
            </w:r>
          </w:p>
        </w:tc>
        <w:tc>
          <w:tcPr>
            <w:tcW w:w="1452" w:type="dxa"/>
            <w:vMerge/>
            <w:vAlign w:val="center"/>
          </w:tcPr>
          <w:p w14:paraId="4F558B40" w14:textId="77777777" w:rsidR="000A1E79" w:rsidRPr="009333DA" w:rsidRDefault="000A1E79" w:rsidP="000A1E79">
            <w:pPr>
              <w:jc w:val="center"/>
              <w:rPr>
                <w:rFonts w:asciiTheme="minorHAnsi" w:hAnsiTheme="minorHAnsi"/>
              </w:rPr>
            </w:pPr>
          </w:p>
        </w:tc>
      </w:tr>
      <w:tr w:rsidR="000A1E79" w:rsidRPr="009333DA" w14:paraId="0F46F8B4" w14:textId="77777777" w:rsidTr="000A1E79">
        <w:trPr>
          <w:trHeight w:val="182"/>
          <w:jc w:val="center"/>
        </w:trPr>
        <w:tc>
          <w:tcPr>
            <w:tcW w:w="1208" w:type="dxa"/>
            <w:tcBorders>
              <w:bottom w:val="single" w:sz="2" w:space="0" w:color="auto"/>
            </w:tcBorders>
            <w:shd w:val="clear" w:color="auto" w:fill="auto"/>
            <w:vAlign w:val="center"/>
          </w:tcPr>
          <w:p w14:paraId="6E842B7D" w14:textId="77777777" w:rsidR="000A1E79" w:rsidRPr="009333DA" w:rsidRDefault="000A1E79" w:rsidP="006A7390">
            <w:pPr>
              <w:jc w:val="center"/>
              <w:rPr>
                <w:rFonts w:asciiTheme="minorHAnsi" w:hAnsiTheme="minorHAnsi"/>
              </w:rPr>
            </w:pPr>
            <w:r w:rsidRPr="009333DA">
              <w:rPr>
                <w:rFonts w:asciiTheme="minorHAnsi" w:hAnsiTheme="minorHAnsi"/>
              </w:rPr>
              <w:t>7</w:t>
            </w:r>
          </w:p>
        </w:tc>
        <w:tc>
          <w:tcPr>
            <w:tcW w:w="1861" w:type="dxa"/>
            <w:tcBorders>
              <w:bottom w:val="single" w:sz="2" w:space="0" w:color="auto"/>
            </w:tcBorders>
          </w:tcPr>
          <w:p w14:paraId="5F8556B7" w14:textId="77777777" w:rsidR="000A1E79" w:rsidRPr="009333DA" w:rsidRDefault="000A1E79" w:rsidP="006A7390">
            <w:pPr>
              <w:jc w:val="center"/>
              <w:rPr>
                <w:rFonts w:asciiTheme="minorHAnsi" w:hAnsiTheme="minorHAnsi"/>
              </w:rPr>
            </w:pPr>
            <w:r w:rsidRPr="009333DA">
              <w:rPr>
                <w:rFonts w:asciiTheme="minorHAnsi" w:hAnsiTheme="minorHAnsi"/>
              </w:rPr>
              <w:t>7</w:t>
            </w:r>
          </w:p>
        </w:tc>
        <w:tc>
          <w:tcPr>
            <w:tcW w:w="1452" w:type="dxa"/>
            <w:vMerge w:val="restart"/>
            <w:vAlign w:val="center"/>
          </w:tcPr>
          <w:p w14:paraId="195C9182" w14:textId="77777777" w:rsidR="000A1E79" w:rsidRPr="009333DA" w:rsidRDefault="000A1E79" w:rsidP="000A1E79">
            <w:pPr>
              <w:pStyle w:val="NoSpacing"/>
              <w:jc w:val="center"/>
              <w:rPr>
                <w:rFonts w:asciiTheme="minorHAnsi" w:hAnsiTheme="minorHAnsi" w:cstheme="minorHAnsi"/>
              </w:rPr>
            </w:pPr>
            <w:r w:rsidRPr="009333DA">
              <w:rPr>
                <w:rFonts w:asciiTheme="minorHAnsi" w:hAnsiTheme="minorHAnsi" w:cstheme="minorHAnsi"/>
                <w:highlight w:val="darkCyan"/>
              </w:rPr>
              <w:t>Extending</w:t>
            </w:r>
          </w:p>
        </w:tc>
      </w:tr>
      <w:tr w:rsidR="000A1E79" w:rsidRPr="009333DA" w14:paraId="5138AC74" w14:textId="77777777" w:rsidTr="000A1E79">
        <w:trPr>
          <w:trHeight w:val="103"/>
          <w:jc w:val="center"/>
        </w:trPr>
        <w:tc>
          <w:tcPr>
            <w:tcW w:w="1208" w:type="dxa"/>
            <w:tcBorders>
              <w:top w:val="single" w:sz="2" w:space="0" w:color="auto"/>
              <w:bottom w:val="single" w:sz="2" w:space="0" w:color="auto"/>
            </w:tcBorders>
            <w:shd w:val="clear" w:color="auto" w:fill="auto"/>
            <w:vAlign w:val="center"/>
          </w:tcPr>
          <w:p w14:paraId="30BFC804" w14:textId="77777777" w:rsidR="000A1E79" w:rsidRPr="009333DA" w:rsidRDefault="000A1E79" w:rsidP="006A7390">
            <w:pPr>
              <w:jc w:val="center"/>
              <w:rPr>
                <w:rFonts w:asciiTheme="minorHAnsi" w:hAnsiTheme="minorHAnsi"/>
              </w:rPr>
            </w:pPr>
            <w:r w:rsidRPr="009333DA">
              <w:rPr>
                <w:rFonts w:asciiTheme="minorHAnsi" w:hAnsiTheme="minorHAnsi"/>
              </w:rPr>
              <w:t>8</w:t>
            </w:r>
          </w:p>
        </w:tc>
        <w:tc>
          <w:tcPr>
            <w:tcW w:w="1861" w:type="dxa"/>
            <w:tcBorders>
              <w:top w:val="single" w:sz="2" w:space="0" w:color="auto"/>
              <w:bottom w:val="single" w:sz="2" w:space="0" w:color="auto"/>
            </w:tcBorders>
          </w:tcPr>
          <w:p w14:paraId="486904E3" w14:textId="77777777" w:rsidR="000A1E79" w:rsidRPr="009333DA" w:rsidRDefault="000A1E79" w:rsidP="006A7390">
            <w:pPr>
              <w:jc w:val="center"/>
              <w:rPr>
                <w:rFonts w:asciiTheme="minorHAnsi" w:hAnsiTheme="minorHAnsi"/>
              </w:rPr>
            </w:pPr>
            <w:r w:rsidRPr="009333DA">
              <w:rPr>
                <w:rFonts w:asciiTheme="minorHAnsi" w:hAnsiTheme="minorHAnsi"/>
              </w:rPr>
              <w:t>8</w:t>
            </w:r>
          </w:p>
        </w:tc>
        <w:tc>
          <w:tcPr>
            <w:tcW w:w="1452" w:type="dxa"/>
            <w:vMerge/>
            <w:vAlign w:val="center"/>
          </w:tcPr>
          <w:p w14:paraId="7FED6495" w14:textId="77777777" w:rsidR="000A1E79" w:rsidRPr="009333DA" w:rsidRDefault="000A1E79" w:rsidP="000A1E79">
            <w:pPr>
              <w:jc w:val="center"/>
              <w:rPr>
                <w:rFonts w:asciiTheme="minorHAnsi" w:hAnsiTheme="minorHAnsi"/>
              </w:rPr>
            </w:pPr>
          </w:p>
        </w:tc>
      </w:tr>
      <w:tr w:rsidR="000A1E79" w:rsidRPr="009333DA" w14:paraId="5B96D4CB" w14:textId="77777777" w:rsidTr="000A1E79">
        <w:trPr>
          <w:trHeight w:val="103"/>
          <w:jc w:val="center"/>
        </w:trPr>
        <w:tc>
          <w:tcPr>
            <w:tcW w:w="1208" w:type="dxa"/>
            <w:tcBorders>
              <w:top w:val="single" w:sz="2" w:space="0" w:color="auto"/>
            </w:tcBorders>
            <w:shd w:val="clear" w:color="auto" w:fill="auto"/>
            <w:vAlign w:val="center"/>
          </w:tcPr>
          <w:p w14:paraId="063CAF97" w14:textId="77777777" w:rsidR="000A1E79" w:rsidRPr="009333DA" w:rsidRDefault="000A1E79" w:rsidP="006A7390">
            <w:pPr>
              <w:jc w:val="center"/>
              <w:rPr>
                <w:rFonts w:asciiTheme="minorHAnsi" w:hAnsiTheme="minorHAnsi"/>
              </w:rPr>
            </w:pPr>
            <w:r w:rsidRPr="009333DA">
              <w:rPr>
                <w:rFonts w:asciiTheme="minorHAnsi" w:hAnsiTheme="minorHAnsi"/>
              </w:rPr>
              <w:t>9</w:t>
            </w:r>
          </w:p>
        </w:tc>
        <w:tc>
          <w:tcPr>
            <w:tcW w:w="1861" w:type="dxa"/>
            <w:tcBorders>
              <w:top w:val="single" w:sz="2" w:space="0" w:color="auto"/>
            </w:tcBorders>
          </w:tcPr>
          <w:p w14:paraId="6128F857" w14:textId="77777777" w:rsidR="000A1E79" w:rsidRPr="009333DA" w:rsidRDefault="000A1E79" w:rsidP="006A7390">
            <w:pPr>
              <w:jc w:val="center"/>
              <w:rPr>
                <w:rFonts w:asciiTheme="minorHAnsi" w:hAnsiTheme="minorHAnsi"/>
              </w:rPr>
            </w:pPr>
            <w:r w:rsidRPr="009333DA">
              <w:rPr>
                <w:rFonts w:asciiTheme="minorHAnsi" w:hAnsiTheme="minorHAnsi"/>
              </w:rPr>
              <w:t>9</w:t>
            </w:r>
          </w:p>
        </w:tc>
        <w:tc>
          <w:tcPr>
            <w:tcW w:w="1452" w:type="dxa"/>
            <w:vMerge/>
            <w:vAlign w:val="center"/>
          </w:tcPr>
          <w:p w14:paraId="7BCBFC31" w14:textId="77777777" w:rsidR="000A1E79" w:rsidRPr="009333DA" w:rsidRDefault="000A1E79" w:rsidP="000A1E79">
            <w:pPr>
              <w:jc w:val="center"/>
              <w:rPr>
                <w:rFonts w:asciiTheme="minorHAnsi" w:hAnsiTheme="minorHAnsi"/>
              </w:rPr>
            </w:pPr>
          </w:p>
        </w:tc>
      </w:tr>
      <w:tr w:rsidR="000A1E79" w:rsidRPr="009333DA" w14:paraId="7356129B" w14:textId="77777777" w:rsidTr="000A1E79">
        <w:trPr>
          <w:trHeight w:val="182"/>
          <w:jc w:val="center"/>
        </w:trPr>
        <w:tc>
          <w:tcPr>
            <w:tcW w:w="1208" w:type="dxa"/>
            <w:tcBorders>
              <w:bottom w:val="single" w:sz="2" w:space="0" w:color="auto"/>
            </w:tcBorders>
            <w:shd w:val="clear" w:color="auto" w:fill="auto"/>
            <w:vAlign w:val="center"/>
          </w:tcPr>
          <w:p w14:paraId="446E464A" w14:textId="77777777" w:rsidR="000A1E79" w:rsidRPr="009333DA" w:rsidRDefault="000A1E79" w:rsidP="006A7390">
            <w:pPr>
              <w:jc w:val="center"/>
              <w:rPr>
                <w:rFonts w:asciiTheme="minorHAnsi" w:hAnsiTheme="minorHAnsi"/>
              </w:rPr>
            </w:pPr>
            <w:r w:rsidRPr="009333DA">
              <w:rPr>
                <w:rFonts w:asciiTheme="minorHAnsi" w:hAnsiTheme="minorHAnsi"/>
              </w:rPr>
              <w:t>10</w:t>
            </w:r>
          </w:p>
        </w:tc>
        <w:tc>
          <w:tcPr>
            <w:tcW w:w="1861" w:type="dxa"/>
            <w:tcBorders>
              <w:bottom w:val="single" w:sz="2" w:space="0" w:color="auto"/>
            </w:tcBorders>
          </w:tcPr>
          <w:p w14:paraId="558B56DA" w14:textId="77777777" w:rsidR="000A1E79" w:rsidRPr="009333DA" w:rsidRDefault="000A1E79" w:rsidP="006A7390">
            <w:pPr>
              <w:jc w:val="center"/>
              <w:rPr>
                <w:rFonts w:asciiTheme="minorHAnsi" w:hAnsiTheme="minorHAnsi"/>
              </w:rPr>
            </w:pPr>
            <w:r w:rsidRPr="009333DA">
              <w:rPr>
                <w:rFonts w:asciiTheme="minorHAnsi" w:hAnsiTheme="minorHAnsi"/>
              </w:rPr>
              <w:t>10</w:t>
            </w:r>
          </w:p>
        </w:tc>
        <w:tc>
          <w:tcPr>
            <w:tcW w:w="1452" w:type="dxa"/>
            <w:vMerge w:val="restart"/>
            <w:vAlign w:val="center"/>
          </w:tcPr>
          <w:p w14:paraId="5D8FDE75" w14:textId="77777777" w:rsidR="000A1E79" w:rsidRPr="009333DA" w:rsidRDefault="000A1E79" w:rsidP="000A1E79">
            <w:pPr>
              <w:pStyle w:val="NoSpacing"/>
              <w:jc w:val="center"/>
              <w:rPr>
                <w:rFonts w:asciiTheme="minorHAnsi" w:hAnsiTheme="minorHAnsi" w:cstheme="minorHAnsi"/>
              </w:rPr>
            </w:pPr>
            <w:r w:rsidRPr="009333DA">
              <w:rPr>
                <w:rFonts w:asciiTheme="minorHAnsi" w:hAnsiTheme="minorHAnsi" w:cstheme="minorHAnsi"/>
                <w:highlight w:val="lightGray"/>
              </w:rPr>
              <w:t>Specific</w:t>
            </w:r>
          </w:p>
        </w:tc>
      </w:tr>
      <w:tr w:rsidR="000A1E79" w:rsidRPr="009333DA" w14:paraId="584631FC" w14:textId="77777777" w:rsidTr="006A7390">
        <w:trPr>
          <w:trHeight w:val="103"/>
          <w:jc w:val="center"/>
        </w:trPr>
        <w:tc>
          <w:tcPr>
            <w:tcW w:w="1208" w:type="dxa"/>
            <w:tcBorders>
              <w:top w:val="single" w:sz="2" w:space="0" w:color="auto"/>
            </w:tcBorders>
            <w:shd w:val="clear" w:color="auto" w:fill="auto"/>
            <w:vAlign w:val="center"/>
          </w:tcPr>
          <w:p w14:paraId="4814B7EC" w14:textId="77777777" w:rsidR="000A1E79" w:rsidRPr="009333DA" w:rsidRDefault="000A1E79" w:rsidP="006A7390">
            <w:pPr>
              <w:jc w:val="center"/>
              <w:rPr>
                <w:rFonts w:asciiTheme="minorHAnsi" w:hAnsiTheme="minorHAnsi"/>
              </w:rPr>
            </w:pPr>
            <w:r w:rsidRPr="009333DA">
              <w:rPr>
                <w:rFonts w:asciiTheme="minorHAnsi" w:hAnsiTheme="minorHAnsi"/>
              </w:rPr>
              <w:t>11</w:t>
            </w:r>
          </w:p>
        </w:tc>
        <w:tc>
          <w:tcPr>
            <w:tcW w:w="1861" w:type="dxa"/>
            <w:tcBorders>
              <w:top w:val="single" w:sz="2" w:space="0" w:color="auto"/>
            </w:tcBorders>
          </w:tcPr>
          <w:p w14:paraId="5DE0BD10" w14:textId="77777777" w:rsidR="000A1E79" w:rsidRPr="009333DA" w:rsidRDefault="000A1E79" w:rsidP="006A7390">
            <w:pPr>
              <w:jc w:val="center"/>
              <w:rPr>
                <w:rFonts w:asciiTheme="minorHAnsi" w:hAnsiTheme="minorHAnsi"/>
              </w:rPr>
            </w:pPr>
            <w:r w:rsidRPr="009333DA">
              <w:rPr>
                <w:rFonts w:asciiTheme="minorHAnsi" w:hAnsiTheme="minorHAnsi"/>
              </w:rPr>
              <w:t>11</w:t>
            </w:r>
          </w:p>
        </w:tc>
        <w:tc>
          <w:tcPr>
            <w:tcW w:w="1452" w:type="dxa"/>
            <w:vMerge/>
          </w:tcPr>
          <w:p w14:paraId="11C1F0F9" w14:textId="77777777" w:rsidR="000A1E79" w:rsidRPr="009333DA" w:rsidRDefault="000A1E79" w:rsidP="006A7390">
            <w:pPr>
              <w:jc w:val="center"/>
              <w:rPr>
                <w:rFonts w:asciiTheme="minorHAnsi" w:hAnsiTheme="minorHAnsi"/>
              </w:rPr>
            </w:pPr>
          </w:p>
        </w:tc>
      </w:tr>
    </w:tbl>
    <w:p w14:paraId="350D0F4E" w14:textId="5110F3E2" w:rsidR="00FD6F40" w:rsidRPr="00FD6F40" w:rsidRDefault="00FD6F40" w:rsidP="00CF3FAE">
      <w:pPr>
        <w:pStyle w:val="NoSpacing"/>
        <w:rPr>
          <w:rFonts w:ascii="Arial" w:hAnsi="Arial" w:cs="Arial"/>
          <w:sz w:val="24"/>
          <w:szCs w:val="24"/>
        </w:rPr>
      </w:pPr>
    </w:p>
    <w:p w14:paraId="1269090F" w14:textId="4938DBB4" w:rsidR="00FD6F40" w:rsidRPr="00FD6F40" w:rsidRDefault="00FD6F40" w:rsidP="00CF3FAE">
      <w:pPr>
        <w:pStyle w:val="NoSpacing"/>
        <w:rPr>
          <w:rFonts w:ascii="Arial" w:hAnsi="Arial" w:cs="Arial"/>
          <w:sz w:val="24"/>
          <w:szCs w:val="24"/>
        </w:rPr>
      </w:pPr>
      <w:r w:rsidRPr="00FD6F40">
        <w:rPr>
          <w:rFonts w:ascii="Arial" w:hAnsi="Arial" w:cs="Arial"/>
          <w:sz w:val="24"/>
          <w:szCs w:val="24"/>
        </w:rPr>
        <w:t>The trajectory profile</w:t>
      </w:r>
      <w:r w:rsidR="000A1E79">
        <w:rPr>
          <w:rFonts w:ascii="Arial" w:hAnsi="Arial" w:cs="Arial"/>
          <w:sz w:val="24"/>
          <w:szCs w:val="24"/>
        </w:rPr>
        <w:t>,</w:t>
      </w:r>
      <w:r w:rsidRPr="00FD6F40">
        <w:rPr>
          <w:rFonts w:ascii="Arial" w:hAnsi="Arial" w:cs="Arial"/>
          <w:sz w:val="24"/>
          <w:szCs w:val="24"/>
        </w:rPr>
        <w:t xml:space="preserve"> as detailed in</w:t>
      </w:r>
      <w:r>
        <w:rPr>
          <w:rFonts w:ascii="Arial" w:hAnsi="Arial" w:cs="Arial"/>
          <w:sz w:val="24"/>
          <w:szCs w:val="24"/>
        </w:rPr>
        <w:t xml:space="preserve"> the</w:t>
      </w:r>
      <w:r w:rsidRPr="00FD6F40">
        <w:rPr>
          <w:rFonts w:ascii="Arial" w:hAnsi="Arial" w:cs="Arial"/>
          <w:sz w:val="24"/>
          <w:szCs w:val="24"/>
        </w:rPr>
        <w:t xml:space="preserve"> curriculum policy</w:t>
      </w:r>
      <w:r w:rsidR="000A1E79">
        <w:rPr>
          <w:rFonts w:ascii="Arial" w:hAnsi="Arial" w:cs="Arial"/>
          <w:sz w:val="24"/>
          <w:szCs w:val="24"/>
        </w:rPr>
        <w:t>,</w:t>
      </w:r>
      <w:r w:rsidRPr="00FD6F40">
        <w:rPr>
          <w:rFonts w:ascii="Arial" w:hAnsi="Arial" w:cs="Arial"/>
          <w:sz w:val="24"/>
          <w:szCs w:val="24"/>
        </w:rPr>
        <w:t xml:space="preserve"> is helpful in showing</w:t>
      </w:r>
      <w:r>
        <w:rPr>
          <w:rFonts w:ascii="Arial" w:hAnsi="Arial" w:cs="Arial"/>
          <w:sz w:val="24"/>
          <w:szCs w:val="24"/>
        </w:rPr>
        <w:t xml:space="preserve"> the ambition at The Wildings. If a</w:t>
      </w:r>
      <w:r w:rsidRPr="00FD6F40">
        <w:rPr>
          <w:rFonts w:ascii="Arial" w:hAnsi="Arial" w:cs="Arial"/>
          <w:sz w:val="24"/>
          <w:szCs w:val="24"/>
        </w:rPr>
        <w:t xml:space="preserve"> </w:t>
      </w:r>
      <w:r w:rsidR="000A1E79">
        <w:rPr>
          <w:rFonts w:ascii="Arial" w:hAnsi="Arial" w:cs="Arial"/>
          <w:sz w:val="24"/>
          <w:szCs w:val="24"/>
        </w:rPr>
        <w:t>young person</w:t>
      </w:r>
      <w:r w:rsidRPr="00FD6F40">
        <w:rPr>
          <w:rFonts w:ascii="Arial" w:hAnsi="Arial" w:cs="Arial"/>
          <w:sz w:val="24"/>
          <w:szCs w:val="24"/>
        </w:rPr>
        <w:t xml:space="preserve"> can get back on track with their reading progress</w:t>
      </w:r>
      <w:r>
        <w:rPr>
          <w:rFonts w:ascii="Arial" w:hAnsi="Arial" w:cs="Arial"/>
          <w:sz w:val="24"/>
          <w:szCs w:val="24"/>
        </w:rPr>
        <w:t>, a wealth of opportunities opens up</w:t>
      </w:r>
      <w:r w:rsidRPr="00FD6F40">
        <w:rPr>
          <w:rFonts w:ascii="Arial" w:hAnsi="Arial" w:cs="Arial"/>
          <w:sz w:val="24"/>
          <w:szCs w:val="24"/>
        </w:rPr>
        <w:t xml:space="preserve">. </w:t>
      </w:r>
    </w:p>
    <w:p w14:paraId="606D7C56" w14:textId="25515F76" w:rsidR="00FD6F40" w:rsidRPr="00FD6F40" w:rsidRDefault="00273912" w:rsidP="00CF3FAE">
      <w:pPr>
        <w:pStyle w:val="NoSpacing"/>
        <w:rPr>
          <w:rFonts w:ascii="Arial" w:hAnsi="Arial" w:cs="Arial"/>
          <w:sz w:val="24"/>
          <w:szCs w:val="24"/>
        </w:rPr>
      </w:pPr>
      <w:r>
        <w:rPr>
          <w:rFonts w:asciiTheme="minorHAnsi" w:hAnsiTheme="minorHAnsi"/>
          <w:noProof/>
          <w:sz w:val="24"/>
          <w:szCs w:val="24"/>
        </w:rPr>
        <w:drawing>
          <wp:anchor distT="0" distB="0" distL="114300" distR="114300" simplePos="0" relativeHeight="251658240" behindDoc="0" locked="0" layoutInCell="1" allowOverlap="1" wp14:anchorId="66BCE826" wp14:editId="79B093B5">
            <wp:simplePos x="0" y="0"/>
            <wp:positionH relativeFrom="column">
              <wp:posOffset>668020</wp:posOffset>
            </wp:positionH>
            <wp:positionV relativeFrom="paragraph">
              <wp:posOffset>60325</wp:posOffset>
            </wp:positionV>
            <wp:extent cx="4417695" cy="2897505"/>
            <wp:effectExtent l="0" t="0" r="1905" b="0"/>
            <wp:wrapNone/>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17695" cy="2897505"/>
                    </a:xfrm>
                    <a:prstGeom prst="rect">
                      <a:avLst/>
                    </a:prstGeom>
                  </pic:spPr>
                </pic:pic>
              </a:graphicData>
            </a:graphic>
            <wp14:sizeRelH relativeFrom="page">
              <wp14:pctWidth>0</wp14:pctWidth>
            </wp14:sizeRelH>
            <wp14:sizeRelV relativeFrom="page">
              <wp14:pctHeight>0</wp14:pctHeight>
            </wp14:sizeRelV>
          </wp:anchor>
        </w:drawing>
      </w:r>
    </w:p>
    <w:p w14:paraId="7A4AF797" w14:textId="26DB131E" w:rsidR="00500BF5" w:rsidRPr="007D6E75" w:rsidRDefault="00500BF5" w:rsidP="00500BF5">
      <w:pPr>
        <w:pStyle w:val="NoSpacing"/>
        <w:rPr>
          <w:rFonts w:asciiTheme="minorHAnsi" w:hAnsiTheme="minorHAnsi"/>
          <w:sz w:val="24"/>
          <w:szCs w:val="24"/>
        </w:rPr>
      </w:pPr>
    </w:p>
    <w:sectPr w:rsidR="00500BF5" w:rsidRPr="007D6E75" w:rsidSect="008A038C">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B9144" w14:textId="77777777" w:rsidR="00594167" w:rsidRDefault="00594167" w:rsidP="00732F68">
      <w:pPr>
        <w:spacing w:after="0" w:line="240" w:lineRule="auto"/>
      </w:pPr>
      <w:r>
        <w:separator/>
      </w:r>
    </w:p>
  </w:endnote>
  <w:endnote w:type="continuationSeparator" w:id="0">
    <w:p w14:paraId="4E54FF1A" w14:textId="77777777" w:rsidR="00594167" w:rsidRDefault="00594167" w:rsidP="0073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679FE" w14:textId="77777777" w:rsidR="00594167" w:rsidRDefault="00594167" w:rsidP="00732F68">
      <w:pPr>
        <w:spacing w:after="0" w:line="240" w:lineRule="auto"/>
      </w:pPr>
      <w:r>
        <w:separator/>
      </w:r>
    </w:p>
  </w:footnote>
  <w:footnote w:type="continuationSeparator" w:id="0">
    <w:p w14:paraId="4C65CBC9" w14:textId="77777777" w:rsidR="00594167" w:rsidRDefault="00594167" w:rsidP="00732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259C" w14:textId="67C96A62" w:rsidR="000A1E79" w:rsidRDefault="000A1E79" w:rsidP="000A1E79">
    <w:pPr>
      <w:pStyle w:val="Header"/>
      <w:jc w:val="center"/>
    </w:pPr>
    <w:r>
      <w:rPr>
        <w:noProof/>
      </w:rPr>
      <w:drawing>
        <wp:inline distT="0" distB="0" distL="0" distR="0" wp14:anchorId="350331E1" wp14:editId="734EED7E">
          <wp:extent cx="1551398" cy="7543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75335" cy="765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63CC6"/>
    <w:multiLevelType w:val="hybridMultilevel"/>
    <w:tmpl w:val="640A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9527C"/>
    <w:multiLevelType w:val="hybridMultilevel"/>
    <w:tmpl w:val="3C92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270C7"/>
    <w:multiLevelType w:val="hybridMultilevel"/>
    <w:tmpl w:val="BA4CA2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15F9D"/>
    <w:multiLevelType w:val="hybridMultilevel"/>
    <w:tmpl w:val="B98471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C3CF2"/>
    <w:multiLevelType w:val="hybridMultilevel"/>
    <w:tmpl w:val="8E2A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22C47"/>
    <w:multiLevelType w:val="hybridMultilevel"/>
    <w:tmpl w:val="DBCC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5465F"/>
    <w:multiLevelType w:val="hybridMultilevel"/>
    <w:tmpl w:val="DE8A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454A1"/>
    <w:multiLevelType w:val="hybridMultilevel"/>
    <w:tmpl w:val="D668F5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E042B6"/>
    <w:multiLevelType w:val="hybridMultilevel"/>
    <w:tmpl w:val="01C082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33287F"/>
    <w:multiLevelType w:val="hybridMultilevel"/>
    <w:tmpl w:val="87F2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610A6"/>
    <w:multiLevelType w:val="hybridMultilevel"/>
    <w:tmpl w:val="D9E0E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466B70"/>
    <w:multiLevelType w:val="hybridMultilevel"/>
    <w:tmpl w:val="CFBC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C160D"/>
    <w:multiLevelType w:val="hybridMultilevel"/>
    <w:tmpl w:val="37A4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04D86"/>
    <w:multiLevelType w:val="hybridMultilevel"/>
    <w:tmpl w:val="C5109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01521B"/>
    <w:multiLevelType w:val="hybridMultilevel"/>
    <w:tmpl w:val="3F48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44168"/>
    <w:multiLevelType w:val="hybridMultilevel"/>
    <w:tmpl w:val="01789E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DB7D6D"/>
    <w:multiLevelType w:val="hybridMultilevel"/>
    <w:tmpl w:val="2DAEB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94469"/>
    <w:multiLevelType w:val="hybridMultilevel"/>
    <w:tmpl w:val="5F46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A687A"/>
    <w:multiLevelType w:val="hybridMultilevel"/>
    <w:tmpl w:val="DA6C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B09CB"/>
    <w:multiLevelType w:val="hybridMultilevel"/>
    <w:tmpl w:val="DA081CF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D8B0EF4"/>
    <w:multiLevelType w:val="hybridMultilevel"/>
    <w:tmpl w:val="B6266E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B539D2"/>
    <w:multiLevelType w:val="hybridMultilevel"/>
    <w:tmpl w:val="D148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EE3D7E"/>
    <w:multiLevelType w:val="hybridMultilevel"/>
    <w:tmpl w:val="BA5A9F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387FCB"/>
    <w:multiLevelType w:val="hybridMultilevel"/>
    <w:tmpl w:val="AE96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7342D7"/>
    <w:multiLevelType w:val="hybridMultilevel"/>
    <w:tmpl w:val="C376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63620"/>
    <w:multiLevelType w:val="hybridMultilevel"/>
    <w:tmpl w:val="5564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185543"/>
    <w:multiLevelType w:val="hybridMultilevel"/>
    <w:tmpl w:val="877A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6A1352"/>
    <w:multiLevelType w:val="hybridMultilevel"/>
    <w:tmpl w:val="2D929C6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377156"/>
    <w:multiLevelType w:val="hybridMultilevel"/>
    <w:tmpl w:val="5D62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92D9E"/>
    <w:multiLevelType w:val="hybridMultilevel"/>
    <w:tmpl w:val="84FC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26C16"/>
    <w:multiLevelType w:val="hybridMultilevel"/>
    <w:tmpl w:val="C0CCF4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D373BA"/>
    <w:multiLevelType w:val="hybridMultilevel"/>
    <w:tmpl w:val="D104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20E2A"/>
    <w:multiLevelType w:val="hybridMultilevel"/>
    <w:tmpl w:val="541C3666"/>
    <w:lvl w:ilvl="0" w:tplc="070CA3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F3A2E6A"/>
    <w:multiLevelType w:val="hybridMultilevel"/>
    <w:tmpl w:val="B2E21C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0"/>
  </w:num>
  <w:num w:numId="3">
    <w:abstractNumId w:val="23"/>
  </w:num>
  <w:num w:numId="4">
    <w:abstractNumId w:val="18"/>
  </w:num>
  <w:num w:numId="5">
    <w:abstractNumId w:val="28"/>
  </w:num>
  <w:num w:numId="6">
    <w:abstractNumId w:val="11"/>
  </w:num>
  <w:num w:numId="7">
    <w:abstractNumId w:val="14"/>
  </w:num>
  <w:num w:numId="8">
    <w:abstractNumId w:val="7"/>
  </w:num>
  <w:num w:numId="9">
    <w:abstractNumId w:val="15"/>
  </w:num>
  <w:num w:numId="10">
    <w:abstractNumId w:val="20"/>
  </w:num>
  <w:num w:numId="11">
    <w:abstractNumId w:val="2"/>
  </w:num>
  <w:num w:numId="12">
    <w:abstractNumId w:val="30"/>
  </w:num>
  <w:num w:numId="13">
    <w:abstractNumId w:val="8"/>
  </w:num>
  <w:num w:numId="14">
    <w:abstractNumId w:val="33"/>
  </w:num>
  <w:num w:numId="15">
    <w:abstractNumId w:val="1"/>
  </w:num>
  <w:num w:numId="16">
    <w:abstractNumId w:val="3"/>
  </w:num>
  <w:num w:numId="17">
    <w:abstractNumId w:val="4"/>
  </w:num>
  <w:num w:numId="18">
    <w:abstractNumId w:val="16"/>
  </w:num>
  <w:num w:numId="19">
    <w:abstractNumId w:val="13"/>
  </w:num>
  <w:num w:numId="20">
    <w:abstractNumId w:val="32"/>
  </w:num>
  <w:num w:numId="21">
    <w:abstractNumId w:val="19"/>
  </w:num>
  <w:num w:numId="22">
    <w:abstractNumId w:val="17"/>
  </w:num>
  <w:num w:numId="23">
    <w:abstractNumId w:val="26"/>
  </w:num>
  <w:num w:numId="24">
    <w:abstractNumId w:val="0"/>
  </w:num>
  <w:num w:numId="25">
    <w:abstractNumId w:val="21"/>
  </w:num>
  <w:num w:numId="26">
    <w:abstractNumId w:val="12"/>
  </w:num>
  <w:num w:numId="27">
    <w:abstractNumId w:val="24"/>
  </w:num>
  <w:num w:numId="28">
    <w:abstractNumId w:val="22"/>
  </w:num>
  <w:num w:numId="29">
    <w:abstractNumId w:val="9"/>
  </w:num>
  <w:num w:numId="30">
    <w:abstractNumId w:val="25"/>
  </w:num>
  <w:num w:numId="31">
    <w:abstractNumId w:val="31"/>
  </w:num>
  <w:num w:numId="32">
    <w:abstractNumId w:val="5"/>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04"/>
    <w:rsid w:val="00011AED"/>
    <w:rsid w:val="000333AF"/>
    <w:rsid w:val="000362FD"/>
    <w:rsid w:val="0004287C"/>
    <w:rsid w:val="0007144A"/>
    <w:rsid w:val="00074C52"/>
    <w:rsid w:val="0008531E"/>
    <w:rsid w:val="00091CE9"/>
    <w:rsid w:val="000A1E79"/>
    <w:rsid w:val="000B0E30"/>
    <w:rsid w:val="000C4E2D"/>
    <w:rsid w:val="000D18C5"/>
    <w:rsid w:val="000D7F72"/>
    <w:rsid w:val="000E0BB1"/>
    <w:rsid w:val="001160A9"/>
    <w:rsid w:val="00121793"/>
    <w:rsid w:val="00133B8F"/>
    <w:rsid w:val="0013574B"/>
    <w:rsid w:val="001466F9"/>
    <w:rsid w:val="00152D1F"/>
    <w:rsid w:val="00162F73"/>
    <w:rsid w:val="001F6106"/>
    <w:rsid w:val="001F6EA5"/>
    <w:rsid w:val="002335BD"/>
    <w:rsid w:val="00256630"/>
    <w:rsid w:val="00273912"/>
    <w:rsid w:val="00274466"/>
    <w:rsid w:val="00287D22"/>
    <w:rsid w:val="002902A0"/>
    <w:rsid w:val="00297C65"/>
    <w:rsid w:val="002C2FAD"/>
    <w:rsid w:val="002D0CC4"/>
    <w:rsid w:val="002D22CF"/>
    <w:rsid w:val="003463D6"/>
    <w:rsid w:val="00355484"/>
    <w:rsid w:val="00375E0F"/>
    <w:rsid w:val="00376CE9"/>
    <w:rsid w:val="00383E8F"/>
    <w:rsid w:val="003B6EE8"/>
    <w:rsid w:val="003B738E"/>
    <w:rsid w:val="003D0681"/>
    <w:rsid w:val="003D6E1B"/>
    <w:rsid w:val="003D709F"/>
    <w:rsid w:val="003F52CE"/>
    <w:rsid w:val="003F6A1F"/>
    <w:rsid w:val="00412D8A"/>
    <w:rsid w:val="004243AC"/>
    <w:rsid w:val="00450C47"/>
    <w:rsid w:val="004569BF"/>
    <w:rsid w:val="00460B20"/>
    <w:rsid w:val="00481297"/>
    <w:rsid w:val="004A1203"/>
    <w:rsid w:val="004A1892"/>
    <w:rsid w:val="004A215A"/>
    <w:rsid w:val="004A5C71"/>
    <w:rsid w:val="004E5D28"/>
    <w:rsid w:val="00500BF5"/>
    <w:rsid w:val="0050629C"/>
    <w:rsid w:val="00526769"/>
    <w:rsid w:val="0054296C"/>
    <w:rsid w:val="005570AF"/>
    <w:rsid w:val="0057530A"/>
    <w:rsid w:val="00594167"/>
    <w:rsid w:val="005A167D"/>
    <w:rsid w:val="005A52E1"/>
    <w:rsid w:val="005B4F77"/>
    <w:rsid w:val="005C47C2"/>
    <w:rsid w:val="005D3638"/>
    <w:rsid w:val="00613B76"/>
    <w:rsid w:val="006368AF"/>
    <w:rsid w:val="00653742"/>
    <w:rsid w:val="00660515"/>
    <w:rsid w:val="006707B5"/>
    <w:rsid w:val="006805A2"/>
    <w:rsid w:val="00692898"/>
    <w:rsid w:val="006B02BF"/>
    <w:rsid w:val="006C08DB"/>
    <w:rsid w:val="006D7652"/>
    <w:rsid w:val="006F4305"/>
    <w:rsid w:val="0070161D"/>
    <w:rsid w:val="007178A7"/>
    <w:rsid w:val="00732F68"/>
    <w:rsid w:val="00740E8C"/>
    <w:rsid w:val="007722C4"/>
    <w:rsid w:val="00772713"/>
    <w:rsid w:val="007834F3"/>
    <w:rsid w:val="007D6E75"/>
    <w:rsid w:val="007E35E5"/>
    <w:rsid w:val="008201CE"/>
    <w:rsid w:val="00827B1A"/>
    <w:rsid w:val="0087030E"/>
    <w:rsid w:val="00896E2C"/>
    <w:rsid w:val="008A038C"/>
    <w:rsid w:val="008C5549"/>
    <w:rsid w:val="008C5C4C"/>
    <w:rsid w:val="008E27DC"/>
    <w:rsid w:val="0090325F"/>
    <w:rsid w:val="009333DA"/>
    <w:rsid w:val="009518C3"/>
    <w:rsid w:val="00956D73"/>
    <w:rsid w:val="0095768B"/>
    <w:rsid w:val="00992870"/>
    <w:rsid w:val="00995FE4"/>
    <w:rsid w:val="009967F2"/>
    <w:rsid w:val="009C28DE"/>
    <w:rsid w:val="009D0070"/>
    <w:rsid w:val="00A133D2"/>
    <w:rsid w:val="00A1749B"/>
    <w:rsid w:val="00A17E22"/>
    <w:rsid w:val="00A46BC6"/>
    <w:rsid w:val="00A63E7B"/>
    <w:rsid w:val="00AD0FE8"/>
    <w:rsid w:val="00AD7091"/>
    <w:rsid w:val="00AF0654"/>
    <w:rsid w:val="00B16DB8"/>
    <w:rsid w:val="00B2285D"/>
    <w:rsid w:val="00B34425"/>
    <w:rsid w:val="00B4457A"/>
    <w:rsid w:val="00B62ABC"/>
    <w:rsid w:val="00B662F6"/>
    <w:rsid w:val="00B72F3F"/>
    <w:rsid w:val="00B926F3"/>
    <w:rsid w:val="00BB56B3"/>
    <w:rsid w:val="00BD5C04"/>
    <w:rsid w:val="00BE69A5"/>
    <w:rsid w:val="00BE77C3"/>
    <w:rsid w:val="00C05BDA"/>
    <w:rsid w:val="00C1322D"/>
    <w:rsid w:val="00C270C7"/>
    <w:rsid w:val="00C923EB"/>
    <w:rsid w:val="00CF3FAE"/>
    <w:rsid w:val="00D16D4A"/>
    <w:rsid w:val="00D20243"/>
    <w:rsid w:val="00D22B55"/>
    <w:rsid w:val="00D254AB"/>
    <w:rsid w:val="00D337E7"/>
    <w:rsid w:val="00D4742B"/>
    <w:rsid w:val="00D47BCC"/>
    <w:rsid w:val="00D503C0"/>
    <w:rsid w:val="00D50EBD"/>
    <w:rsid w:val="00D71A67"/>
    <w:rsid w:val="00D74AF9"/>
    <w:rsid w:val="00D94004"/>
    <w:rsid w:val="00DA17EE"/>
    <w:rsid w:val="00E03999"/>
    <w:rsid w:val="00E0782E"/>
    <w:rsid w:val="00E25DAE"/>
    <w:rsid w:val="00E44CC2"/>
    <w:rsid w:val="00E53253"/>
    <w:rsid w:val="00E65E8B"/>
    <w:rsid w:val="00E667BD"/>
    <w:rsid w:val="00E747E9"/>
    <w:rsid w:val="00E84E42"/>
    <w:rsid w:val="00E92D95"/>
    <w:rsid w:val="00EA25F7"/>
    <w:rsid w:val="00EB2DB3"/>
    <w:rsid w:val="00EB3F0C"/>
    <w:rsid w:val="00EC165A"/>
    <w:rsid w:val="00EE6B8B"/>
    <w:rsid w:val="00F029D4"/>
    <w:rsid w:val="00F16DC1"/>
    <w:rsid w:val="00F63B4D"/>
    <w:rsid w:val="00F86ECE"/>
    <w:rsid w:val="00FA2E15"/>
    <w:rsid w:val="00FA44D8"/>
    <w:rsid w:val="00FB36C9"/>
    <w:rsid w:val="00FD6F40"/>
    <w:rsid w:val="00FE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67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004"/>
    <w:pPr>
      <w:ind w:left="720"/>
      <w:contextualSpacing/>
    </w:pPr>
  </w:style>
  <w:style w:type="paragraph" w:styleId="BalloonText">
    <w:name w:val="Balloon Text"/>
    <w:basedOn w:val="Normal"/>
    <w:link w:val="BalloonTextChar"/>
    <w:uiPriority w:val="99"/>
    <w:semiHidden/>
    <w:unhideWhenUsed/>
    <w:rsid w:val="003F52CE"/>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F52CE"/>
    <w:rPr>
      <w:rFonts w:cs="Tahoma"/>
      <w:sz w:val="16"/>
      <w:szCs w:val="16"/>
    </w:rPr>
  </w:style>
  <w:style w:type="paragraph" w:styleId="Header">
    <w:name w:val="header"/>
    <w:basedOn w:val="Normal"/>
    <w:link w:val="HeaderChar"/>
    <w:uiPriority w:val="99"/>
    <w:unhideWhenUsed/>
    <w:rsid w:val="00732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F68"/>
  </w:style>
  <w:style w:type="paragraph" w:styleId="Footer">
    <w:name w:val="footer"/>
    <w:basedOn w:val="Normal"/>
    <w:link w:val="FooterChar"/>
    <w:uiPriority w:val="99"/>
    <w:unhideWhenUsed/>
    <w:rsid w:val="00732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F68"/>
  </w:style>
  <w:style w:type="table" w:styleId="TableGrid">
    <w:name w:val="Table Grid"/>
    <w:basedOn w:val="TableNormal"/>
    <w:uiPriority w:val="59"/>
    <w:rsid w:val="005A5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5DAE"/>
    <w:rPr>
      <w:sz w:val="18"/>
      <w:szCs w:val="18"/>
    </w:rPr>
  </w:style>
  <w:style w:type="paragraph" w:styleId="CommentText">
    <w:name w:val="annotation text"/>
    <w:basedOn w:val="Normal"/>
    <w:link w:val="CommentTextChar"/>
    <w:uiPriority w:val="99"/>
    <w:semiHidden/>
    <w:unhideWhenUsed/>
    <w:rsid w:val="00E25DAE"/>
    <w:pPr>
      <w:spacing w:line="240" w:lineRule="auto"/>
    </w:pPr>
    <w:rPr>
      <w:sz w:val="24"/>
      <w:szCs w:val="24"/>
    </w:rPr>
  </w:style>
  <w:style w:type="character" w:customStyle="1" w:styleId="CommentTextChar">
    <w:name w:val="Comment Text Char"/>
    <w:basedOn w:val="DefaultParagraphFont"/>
    <w:link w:val="CommentText"/>
    <w:uiPriority w:val="99"/>
    <w:semiHidden/>
    <w:rsid w:val="00E25DAE"/>
    <w:rPr>
      <w:sz w:val="24"/>
      <w:szCs w:val="24"/>
    </w:rPr>
  </w:style>
  <w:style w:type="paragraph" w:styleId="CommentSubject">
    <w:name w:val="annotation subject"/>
    <w:basedOn w:val="CommentText"/>
    <w:next w:val="CommentText"/>
    <w:link w:val="CommentSubjectChar"/>
    <w:uiPriority w:val="99"/>
    <w:semiHidden/>
    <w:unhideWhenUsed/>
    <w:rsid w:val="00E25DAE"/>
    <w:rPr>
      <w:b/>
      <w:bCs/>
      <w:sz w:val="20"/>
      <w:szCs w:val="20"/>
    </w:rPr>
  </w:style>
  <w:style w:type="character" w:customStyle="1" w:styleId="CommentSubjectChar">
    <w:name w:val="Comment Subject Char"/>
    <w:basedOn w:val="CommentTextChar"/>
    <w:link w:val="CommentSubject"/>
    <w:uiPriority w:val="99"/>
    <w:semiHidden/>
    <w:rsid w:val="00E25DAE"/>
    <w:rPr>
      <w:b/>
      <w:bCs/>
      <w:sz w:val="20"/>
      <w:szCs w:val="20"/>
    </w:rPr>
  </w:style>
  <w:style w:type="paragraph" w:styleId="NoSpacing">
    <w:name w:val="No Spacing"/>
    <w:uiPriority w:val="1"/>
    <w:qFormat/>
    <w:rsid w:val="00F86ECE"/>
    <w:pPr>
      <w:spacing w:after="0" w:line="240" w:lineRule="auto"/>
    </w:pPr>
  </w:style>
  <w:style w:type="paragraph" w:styleId="NormalWeb">
    <w:name w:val="Normal (Web)"/>
    <w:basedOn w:val="Normal"/>
    <w:uiPriority w:val="99"/>
    <w:semiHidden/>
    <w:unhideWhenUsed/>
    <w:rsid w:val="008E27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484650">
      <w:bodyDiv w:val="1"/>
      <w:marLeft w:val="0"/>
      <w:marRight w:val="0"/>
      <w:marTop w:val="0"/>
      <w:marBottom w:val="0"/>
      <w:divBdr>
        <w:top w:val="none" w:sz="0" w:space="0" w:color="auto"/>
        <w:left w:val="none" w:sz="0" w:space="0" w:color="auto"/>
        <w:bottom w:val="none" w:sz="0" w:space="0" w:color="auto"/>
        <w:right w:val="none" w:sz="0" w:space="0" w:color="auto"/>
      </w:divBdr>
    </w:div>
    <w:div w:id="76789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CA616-C104-0041-A2CA-6B26096C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3819</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Rowland</dc:creator>
  <cp:lastModifiedBy>Microsoft Office User</cp:lastModifiedBy>
  <cp:revision>3</cp:revision>
  <cp:lastPrinted>2016-11-04T14:21:00Z</cp:lastPrinted>
  <dcterms:created xsi:type="dcterms:W3CDTF">2021-01-30T13:33:00Z</dcterms:created>
  <dcterms:modified xsi:type="dcterms:W3CDTF">2021-01-30T13:39:00Z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-905794458</vt:i4>
  </property>
  <property fmtid="{D5CDD505-2E9C-101B-9397-08002B2CF9AE}" pid="3" name="_NewReviewCycle">
    <vt:lpwstr/>
  </property>
  <property fmtid="{D5CDD505-2E9C-101B-9397-08002B2CF9AE}" pid="4" name="_EmailSubject">
    <vt:lpwstr>Review of Cedar House School in January </vt:lpwstr>
  </property>
  <property fmtid="{D5CDD505-2E9C-101B-9397-08002B2CF9AE}" pid="5" name="_AuthorEmail">
    <vt:lpwstr>pauline.rowland@witherslackgroup.co.uk</vt:lpwstr>
  </property>
  <property fmtid="{D5CDD505-2E9C-101B-9397-08002B2CF9AE}" pid="6" name="_AuthorEmailDisplayName">
    <vt:lpwstr>Pauline Rowland</vt:lpwstr>
  </property>
  <property fmtid="{D5CDD505-2E9C-101B-9397-08002B2CF9AE}" pid="7" name="_PreviousAdHocReviewCycleID">
    <vt:i4>-648858091</vt:i4>
  </property>
</Properties>
</file>